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b/>
          <w:sz w:val="24"/>
          <w:szCs w:val="24"/>
          <w:lang w:val="es-419"/>
        </w:rPr>
      </w:pPr>
    </w:p>
    <w:p w:rsidR="0065290A" w:rsidRPr="00EB0D36" w:rsidRDefault="0065290A" w:rsidP="0065290A">
      <w:pPr>
        <w:spacing w:after="0" w:line="240" w:lineRule="auto"/>
        <w:jc w:val="center"/>
        <w:rPr>
          <w:rFonts w:ascii="Times New Roman" w:hAnsi="Times New Roman"/>
          <w:b/>
          <w:sz w:val="24"/>
          <w:szCs w:val="24"/>
          <w:lang w:val="es-419"/>
        </w:rPr>
      </w:pPr>
      <w:r w:rsidRPr="00EB0D36">
        <w:rPr>
          <w:rFonts w:ascii="Times New Roman" w:hAnsi="Times New Roman"/>
          <w:b/>
          <w:sz w:val="24"/>
          <w:szCs w:val="24"/>
          <w:lang w:val="es-419"/>
        </w:rPr>
        <w:t>NOTAS A LOS ESTADOS FINANCIEROS</w:t>
      </w:r>
    </w:p>
    <w:p w:rsidR="0065290A" w:rsidRPr="00EB0D36" w:rsidRDefault="0065290A" w:rsidP="0065290A">
      <w:pPr>
        <w:spacing w:after="0" w:line="240" w:lineRule="auto"/>
        <w:jc w:val="center"/>
        <w:rPr>
          <w:rFonts w:ascii="Times New Roman" w:hAnsi="Times New Roman"/>
          <w:b/>
          <w:sz w:val="24"/>
          <w:szCs w:val="24"/>
          <w:lang w:val="es-419"/>
        </w:rPr>
      </w:pPr>
    </w:p>
    <w:p w:rsidR="0065290A" w:rsidRPr="00EB0D36" w:rsidRDefault="0065290A" w:rsidP="0065290A">
      <w:pPr>
        <w:spacing w:after="0" w:line="240" w:lineRule="auto"/>
        <w:jc w:val="center"/>
        <w:rPr>
          <w:rFonts w:ascii="Times New Roman" w:hAnsi="Times New Roman"/>
          <w:b/>
          <w:sz w:val="24"/>
          <w:szCs w:val="24"/>
          <w:lang w:val="es-419"/>
        </w:rPr>
      </w:pPr>
      <w:r w:rsidRPr="00EB0D36">
        <w:rPr>
          <w:rFonts w:ascii="Times New Roman" w:hAnsi="Times New Roman"/>
          <w:b/>
          <w:sz w:val="24"/>
          <w:szCs w:val="24"/>
          <w:lang w:val="es-419"/>
        </w:rPr>
        <w:t>VIGENCIA 2019</w:t>
      </w:r>
    </w:p>
    <w:p w:rsidR="0065290A" w:rsidRPr="00EB0D36" w:rsidRDefault="0065290A" w:rsidP="0065290A">
      <w:pPr>
        <w:spacing w:after="0" w:line="240" w:lineRule="auto"/>
        <w:jc w:val="center"/>
        <w:rPr>
          <w:rFonts w:ascii="Times New Roman" w:hAnsi="Times New Roman"/>
          <w:b/>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Default="0065290A" w:rsidP="0065290A">
      <w:pPr>
        <w:spacing w:after="0" w:line="240" w:lineRule="auto"/>
        <w:jc w:val="center"/>
        <w:rPr>
          <w:rFonts w:ascii="Times New Roman" w:hAnsi="Times New Roman"/>
          <w:sz w:val="24"/>
          <w:szCs w:val="24"/>
          <w:lang w:val="es-419"/>
        </w:rPr>
      </w:pPr>
    </w:p>
    <w:p w:rsidR="0065290A" w:rsidRPr="00EB0D36" w:rsidRDefault="0065290A" w:rsidP="0065290A">
      <w:pPr>
        <w:spacing w:after="0" w:line="240" w:lineRule="auto"/>
        <w:jc w:val="center"/>
        <w:rPr>
          <w:rFonts w:ascii="Times New Roman" w:hAnsi="Times New Roman"/>
          <w:sz w:val="24"/>
          <w:szCs w:val="24"/>
          <w:lang w:val="es-419"/>
        </w:rPr>
      </w:pPr>
    </w:p>
    <w:sdt>
      <w:sdtPr>
        <w:rPr>
          <w:rFonts w:ascii="Times New Roman" w:eastAsia="Calibri" w:hAnsi="Times New Roman" w:cs="Times New Roman"/>
          <w:color w:val="auto"/>
          <w:spacing w:val="0"/>
          <w:sz w:val="24"/>
          <w:szCs w:val="24"/>
          <w:lang w:val="es-ES" w:eastAsia="en-US"/>
        </w:rPr>
        <w:id w:val="-337782563"/>
        <w:docPartObj>
          <w:docPartGallery w:val="Table of Contents"/>
          <w:docPartUnique/>
        </w:docPartObj>
      </w:sdtPr>
      <w:sdtEndPr>
        <w:rPr>
          <w:b/>
          <w:bCs/>
        </w:rPr>
      </w:sdtEndPr>
      <w:sdtContent>
        <w:p w:rsidR="0065290A" w:rsidRPr="000741E8" w:rsidRDefault="0065290A" w:rsidP="0065290A">
          <w:pPr>
            <w:pStyle w:val="TtulodeTDC"/>
            <w:rPr>
              <w:rFonts w:ascii="Times New Roman" w:hAnsi="Times New Roman" w:cs="Times New Roman"/>
              <w:b/>
              <w:sz w:val="24"/>
              <w:szCs w:val="24"/>
            </w:rPr>
          </w:pPr>
          <w:r w:rsidRPr="000741E8">
            <w:rPr>
              <w:rFonts w:ascii="Times New Roman" w:hAnsi="Times New Roman" w:cs="Times New Roman"/>
              <w:b/>
              <w:sz w:val="24"/>
              <w:szCs w:val="24"/>
              <w:lang w:val="es-ES"/>
            </w:rPr>
            <w:t>Contenido</w:t>
          </w:r>
        </w:p>
        <w:p w:rsidR="0065290A" w:rsidRDefault="0065290A" w:rsidP="0065290A">
          <w:pPr>
            <w:pStyle w:val="TDC1"/>
            <w:tabs>
              <w:tab w:val="right" w:leader="dot" w:pos="9111"/>
            </w:tabs>
            <w:rPr>
              <w:rFonts w:asciiTheme="minorHAnsi" w:eastAsiaTheme="minorEastAsia" w:hAnsiTheme="minorHAnsi" w:cstheme="minorBidi"/>
              <w:noProof/>
              <w:lang w:eastAsia="es-CO"/>
            </w:rPr>
          </w:pPr>
          <w:r w:rsidRPr="000741E8">
            <w:rPr>
              <w:rFonts w:ascii="Times New Roman" w:hAnsi="Times New Roman"/>
              <w:sz w:val="24"/>
              <w:szCs w:val="24"/>
            </w:rPr>
            <w:fldChar w:fldCharType="begin"/>
          </w:r>
          <w:r w:rsidRPr="000741E8">
            <w:rPr>
              <w:rFonts w:ascii="Times New Roman" w:hAnsi="Times New Roman"/>
              <w:sz w:val="24"/>
              <w:szCs w:val="24"/>
            </w:rPr>
            <w:instrText xml:space="preserve"> TOC \o "1-3" \h \z \u </w:instrText>
          </w:r>
          <w:r w:rsidRPr="000741E8">
            <w:rPr>
              <w:rFonts w:ascii="Times New Roman" w:hAnsi="Times New Roman"/>
              <w:sz w:val="24"/>
              <w:szCs w:val="24"/>
            </w:rPr>
            <w:fldChar w:fldCharType="separate"/>
          </w:r>
          <w:hyperlink w:anchor="_Toc30823459" w:history="1">
            <w:r w:rsidRPr="003C1600">
              <w:rPr>
                <w:rStyle w:val="Hipervnculo"/>
                <w:noProof/>
              </w:rPr>
              <w:t xml:space="preserve">NOTA 1. </w:t>
            </w:r>
            <w:r w:rsidRPr="003C1600">
              <w:rPr>
                <w:rStyle w:val="Hipervnculo"/>
                <w:noProof/>
                <w:lang w:val="es-419"/>
              </w:rPr>
              <w:t>CONTRALORIA DE BOGOTA D.C.</w:t>
            </w:r>
            <w:r>
              <w:rPr>
                <w:noProof/>
                <w:webHidden/>
              </w:rPr>
              <w:tab/>
            </w:r>
            <w:r>
              <w:rPr>
                <w:noProof/>
                <w:webHidden/>
              </w:rPr>
              <w:fldChar w:fldCharType="begin"/>
            </w:r>
            <w:r>
              <w:rPr>
                <w:noProof/>
                <w:webHidden/>
              </w:rPr>
              <w:instrText xml:space="preserve"> PAGEREF _Toc30823459 \h </w:instrText>
            </w:r>
            <w:r>
              <w:rPr>
                <w:noProof/>
                <w:webHidden/>
              </w:rPr>
            </w:r>
            <w:r>
              <w:rPr>
                <w:noProof/>
                <w:webHidden/>
              </w:rPr>
              <w:fldChar w:fldCharType="separate"/>
            </w:r>
            <w:r>
              <w:rPr>
                <w:noProof/>
                <w:webHidden/>
              </w:rPr>
              <w:t>8</w:t>
            </w:r>
            <w:r>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0" w:history="1">
            <w:r w:rsidR="0065290A" w:rsidRPr="003C1600">
              <w:rPr>
                <w:rStyle w:val="Hipervnculo"/>
                <w:noProof/>
              </w:rPr>
              <w:t>1.1.</w:t>
            </w:r>
            <w:r w:rsidR="0065290A">
              <w:rPr>
                <w:rFonts w:cstheme="minorBidi"/>
                <w:noProof/>
              </w:rPr>
              <w:tab/>
            </w:r>
            <w:r w:rsidR="0065290A" w:rsidRPr="003C1600">
              <w:rPr>
                <w:rStyle w:val="Hipervnculo"/>
                <w:noProof/>
              </w:rPr>
              <w:t>Identificación y funciones</w:t>
            </w:r>
            <w:r w:rsidR="0065290A">
              <w:rPr>
                <w:noProof/>
                <w:webHidden/>
              </w:rPr>
              <w:tab/>
            </w:r>
            <w:r w:rsidR="0065290A">
              <w:rPr>
                <w:noProof/>
                <w:webHidden/>
              </w:rPr>
              <w:fldChar w:fldCharType="begin"/>
            </w:r>
            <w:r w:rsidR="0065290A">
              <w:rPr>
                <w:noProof/>
                <w:webHidden/>
              </w:rPr>
              <w:instrText xml:space="preserve"> PAGEREF _Toc30823460 \h </w:instrText>
            </w:r>
            <w:r w:rsidR="0065290A">
              <w:rPr>
                <w:noProof/>
                <w:webHidden/>
              </w:rPr>
            </w:r>
            <w:r w:rsidR="0065290A">
              <w:rPr>
                <w:noProof/>
                <w:webHidden/>
              </w:rPr>
              <w:fldChar w:fldCharType="separate"/>
            </w:r>
            <w:r w:rsidR="0065290A">
              <w:rPr>
                <w:noProof/>
                <w:webHidden/>
              </w:rPr>
              <w:t>8</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1" w:history="1">
            <w:r w:rsidR="0065290A" w:rsidRPr="003C1600">
              <w:rPr>
                <w:rStyle w:val="Hipervnculo"/>
                <w:noProof/>
              </w:rPr>
              <w:t>1.2.</w:t>
            </w:r>
            <w:r w:rsidR="0065290A">
              <w:rPr>
                <w:rFonts w:cstheme="minorBidi"/>
                <w:noProof/>
              </w:rPr>
              <w:tab/>
            </w:r>
            <w:r w:rsidR="0065290A" w:rsidRPr="003C1600">
              <w:rPr>
                <w:rStyle w:val="Hipervnculo"/>
                <w:noProof/>
              </w:rPr>
              <w:t>Declaración de cumplimiento del marco normativo y limitaciones</w:t>
            </w:r>
            <w:r w:rsidR="0065290A">
              <w:rPr>
                <w:noProof/>
                <w:webHidden/>
              </w:rPr>
              <w:tab/>
            </w:r>
            <w:r w:rsidR="0065290A">
              <w:rPr>
                <w:noProof/>
                <w:webHidden/>
              </w:rPr>
              <w:fldChar w:fldCharType="begin"/>
            </w:r>
            <w:r w:rsidR="0065290A">
              <w:rPr>
                <w:noProof/>
                <w:webHidden/>
              </w:rPr>
              <w:instrText xml:space="preserve"> PAGEREF _Toc30823461 \h </w:instrText>
            </w:r>
            <w:r w:rsidR="0065290A">
              <w:rPr>
                <w:noProof/>
                <w:webHidden/>
              </w:rPr>
            </w:r>
            <w:r w:rsidR="0065290A">
              <w:rPr>
                <w:noProof/>
                <w:webHidden/>
              </w:rPr>
              <w:fldChar w:fldCharType="separate"/>
            </w:r>
            <w:r w:rsidR="0065290A">
              <w:rPr>
                <w:noProof/>
                <w:webHidden/>
              </w:rPr>
              <w:t>8</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2" w:history="1">
            <w:r w:rsidR="0065290A" w:rsidRPr="003C1600">
              <w:rPr>
                <w:rStyle w:val="Hipervnculo"/>
                <w:noProof/>
              </w:rPr>
              <w:t>1.3.</w:t>
            </w:r>
            <w:r w:rsidR="0065290A">
              <w:rPr>
                <w:rFonts w:cstheme="minorBidi"/>
                <w:noProof/>
              </w:rPr>
              <w:tab/>
            </w:r>
            <w:r w:rsidR="0065290A" w:rsidRPr="003C1600">
              <w:rPr>
                <w:rStyle w:val="Hipervnculo"/>
                <w:noProof/>
              </w:rPr>
              <w:t>Base normativa y periodo cubierto</w:t>
            </w:r>
            <w:r w:rsidR="0065290A">
              <w:rPr>
                <w:noProof/>
                <w:webHidden/>
              </w:rPr>
              <w:tab/>
            </w:r>
            <w:r w:rsidR="0065290A">
              <w:rPr>
                <w:noProof/>
                <w:webHidden/>
              </w:rPr>
              <w:fldChar w:fldCharType="begin"/>
            </w:r>
            <w:r w:rsidR="0065290A">
              <w:rPr>
                <w:noProof/>
                <w:webHidden/>
              </w:rPr>
              <w:instrText xml:space="preserve"> PAGEREF _Toc30823462 \h </w:instrText>
            </w:r>
            <w:r w:rsidR="0065290A">
              <w:rPr>
                <w:noProof/>
                <w:webHidden/>
              </w:rPr>
            </w:r>
            <w:r w:rsidR="0065290A">
              <w:rPr>
                <w:noProof/>
                <w:webHidden/>
              </w:rPr>
              <w:fldChar w:fldCharType="separate"/>
            </w:r>
            <w:r w:rsidR="0065290A">
              <w:rPr>
                <w:noProof/>
                <w:webHidden/>
              </w:rPr>
              <w:t>8</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3" w:history="1">
            <w:r w:rsidR="0065290A" w:rsidRPr="003C1600">
              <w:rPr>
                <w:rStyle w:val="Hipervnculo"/>
                <w:noProof/>
              </w:rPr>
              <w:t>1.4.</w:t>
            </w:r>
            <w:r w:rsidR="0065290A">
              <w:rPr>
                <w:rFonts w:cstheme="minorBidi"/>
                <w:noProof/>
              </w:rPr>
              <w:tab/>
            </w:r>
            <w:r w:rsidR="0065290A" w:rsidRPr="003C1600">
              <w:rPr>
                <w:rStyle w:val="Hipervnculo"/>
                <w:noProof/>
              </w:rPr>
              <w:t>Forma de Organización y/o Cobertura</w:t>
            </w:r>
            <w:r w:rsidR="0065290A">
              <w:rPr>
                <w:noProof/>
                <w:webHidden/>
              </w:rPr>
              <w:tab/>
            </w:r>
            <w:r w:rsidR="0065290A">
              <w:rPr>
                <w:noProof/>
                <w:webHidden/>
              </w:rPr>
              <w:fldChar w:fldCharType="begin"/>
            </w:r>
            <w:r w:rsidR="0065290A">
              <w:rPr>
                <w:noProof/>
                <w:webHidden/>
              </w:rPr>
              <w:instrText xml:space="preserve"> PAGEREF _Toc30823463 \h </w:instrText>
            </w:r>
            <w:r w:rsidR="0065290A">
              <w:rPr>
                <w:noProof/>
                <w:webHidden/>
              </w:rPr>
            </w:r>
            <w:r w:rsidR="0065290A">
              <w:rPr>
                <w:noProof/>
                <w:webHidden/>
              </w:rPr>
              <w:fldChar w:fldCharType="separate"/>
            </w:r>
            <w:r w:rsidR="0065290A">
              <w:rPr>
                <w:noProof/>
                <w:webHidden/>
              </w:rPr>
              <w:t>9</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64" w:history="1">
            <w:r w:rsidR="0065290A" w:rsidRPr="003C1600">
              <w:rPr>
                <w:rStyle w:val="Hipervnculo"/>
                <w:noProof/>
              </w:rPr>
              <w:t>NOTA 2. BASES DE MEDICIÓN Y PRESENTACIÓN UTILIZADAS</w:t>
            </w:r>
            <w:r w:rsidR="0065290A">
              <w:rPr>
                <w:noProof/>
                <w:webHidden/>
              </w:rPr>
              <w:tab/>
            </w:r>
            <w:r w:rsidR="0065290A">
              <w:rPr>
                <w:noProof/>
                <w:webHidden/>
              </w:rPr>
              <w:fldChar w:fldCharType="begin"/>
            </w:r>
            <w:r w:rsidR="0065290A">
              <w:rPr>
                <w:noProof/>
                <w:webHidden/>
              </w:rPr>
              <w:instrText xml:space="preserve"> PAGEREF _Toc30823464 \h </w:instrText>
            </w:r>
            <w:r w:rsidR="0065290A">
              <w:rPr>
                <w:noProof/>
                <w:webHidden/>
              </w:rPr>
            </w:r>
            <w:r w:rsidR="0065290A">
              <w:rPr>
                <w:noProof/>
                <w:webHidden/>
              </w:rPr>
              <w:fldChar w:fldCharType="separate"/>
            </w:r>
            <w:r w:rsidR="0065290A">
              <w:rPr>
                <w:noProof/>
                <w:webHidden/>
              </w:rPr>
              <w:t>9</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5" w:history="1">
            <w:r w:rsidR="0065290A" w:rsidRPr="003C1600">
              <w:rPr>
                <w:rStyle w:val="Hipervnculo"/>
                <w:noProof/>
              </w:rPr>
              <w:t>2.1.</w:t>
            </w:r>
            <w:r w:rsidR="0065290A">
              <w:rPr>
                <w:rFonts w:cstheme="minorBidi"/>
                <w:noProof/>
              </w:rPr>
              <w:tab/>
            </w:r>
            <w:r w:rsidR="0065290A" w:rsidRPr="003C1600">
              <w:rPr>
                <w:rStyle w:val="Hipervnculo"/>
                <w:noProof/>
              </w:rPr>
              <w:t>Bases de medición</w:t>
            </w:r>
            <w:r w:rsidR="0065290A">
              <w:rPr>
                <w:noProof/>
                <w:webHidden/>
              </w:rPr>
              <w:tab/>
            </w:r>
            <w:r w:rsidR="0065290A">
              <w:rPr>
                <w:noProof/>
                <w:webHidden/>
              </w:rPr>
              <w:fldChar w:fldCharType="begin"/>
            </w:r>
            <w:r w:rsidR="0065290A">
              <w:rPr>
                <w:noProof/>
                <w:webHidden/>
              </w:rPr>
              <w:instrText xml:space="preserve"> PAGEREF _Toc30823465 \h </w:instrText>
            </w:r>
            <w:r w:rsidR="0065290A">
              <w:rPr>
                <w:noProof/>
                <w:webHidden/>
              </w:rPr>
            </w:r>
            <w:r w:rsidR="0065290A">
              <w:rPr>
                <w:noProof/>
                <w:webHidden/>
              </w:rPr>
              <w:fldChar w:fldCharType="separate"/>
            </w:r>
            <w:r w:rsidR="0065290A">
              <w:rPr>
                <w:noProof/>
                <w:webHidden/>
              </w:rPr>
              <w:t>9</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6" w:history="1">
            <w:r w:rsidR="0065290A" w:rsidRPr="003C1600">
              <w:rPr>
                <w:rStyle w:val="Hipervnculo"/>
                <w:noProof/>
              </w:rPr>
              <w:t>2.2.</w:t>
            </w:r>
            <w:r w:rsidR="0065290A">
              <w:rPr>
                <w:rFonts w:cstheme="minorBidi"/>
                <w:noProof/>
              </w:rPr>
              <w:tab/>
            </w:r>
            <w:r w:rsidR="0065290A" w:rsidRPr="003C1600">
              <w:rPr>
                <w:rStyle w:val="Hipervnculo"/>
                <w:noProof/>
              </w:rPr>
              <w:t>Moneda funcional y de presentación, redondeo y materialidad</w:t>
            </w:r>
            <w:r w:rsidR="0065290A">
              <w:rPr>
                <w:noProof/>
                <w:webHidden/>
              </w:rPr>
              <w:tab/>
            </w:r>
            <w:r w:rsidR="0065290A">
              <w:rPr>
                <w:noProof/>
                <w:webHidden/>
              </w:rPr>
              <w:fldChar w:fldCharType="begin"/>
            </w:r>
            <w:r w:rsidR="0065290A">
              <w:rPr>
                <w:noProof/>
                <w:webHidden/>
              </w:rPr>
              <w:instrText xml:space="preserve"> PAGEREF _Toc30823466 \h </w:instrText>
            </w:r>
            <w:r w:rsidR="0065290A">
              <w:rPr>
                <w:noProof/>
                <w:webHidden/>
              </w:rPr>
            </w:r>
            <w:r w:rsidR="0065290A">
              <w:rPr>
                <w:noProof/>
                <w:webHidden/>
              </w:rPr>
              <w:fldChar w:fldCharType="separate"/>
            </w:r>
            <w:r w:rsidR="0065290A">
              <w:rPr>
                <w:noProof/>
                <w:webHidden/>
              </w:rPr>
              <w:t>9</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67" w:history="1">
            <w:r w:rsidR="0065290A" w:rsidRPr="003C1600">
              <w:rPr>
                <w:rStyle w:val="Hipervnculo"/>
                <w:noProof/>
              </w:rPr>
              <w:t>NOTA 3. JUICIOS, ESTIMACIONES, RIESGOS Y CORRECCIÓN DE ERRORES CONTABLES</w:t>
            </w:r>
            <w:r w:rsidR="0065290A">
              <w:rPr>
                <w:noProof/>
                <w:webHidden/>
              </w:rPr>
              <w:tab/>
            </w:r>
            <w:r w:rsidR="0065290A">
              <w:rPr>
                <w:noProof/>
                <w:webHidden/>
              </w:rPr>
              <w:fldChar w:fldCharType="begin"/>
            </w:r>
            <w:r w:rsidR="0065290A">
              <w:rPr>
                <w:noProof/>
                <w:webHidden/>
              </w:rPr>
              <w:instrText xml:space="preserve"> PAGEREF _Toc30823467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8" w:history="1">
            <w:r w:rsidR="0065290A" w:rsidRPr="003C1600">
              <w:rPr>
                <w:rStyle w:val="Hipervnculo"/>
                <w:noProof/>
              </w:rPr>
              <w:t>3.1.</w:t>
            </w:r>
            <w:r w:rsidR="0065290A">
              <w:rPr>
                <w:rFonts w:cstheme="minorBidi"/>
                <w:noProof/>
              </w:rPr>
              <w:tab/>
            </w:r>
            <w:r w:rsidR="0065290A" w:rsidRPr="003C1600">
              <w:rPr>
                <w:rStyle w:val="Hipervnculo"/>
                <w:noProof/>
              </w:rPr>
              <w:t>Juicios</w:t>
            </w:r>
            <w:r w:rsidR="0065290A">
              <w:rPr>
                <w:noProof/>
                <w:webHidden/>
              </w:rPr>
              <w:tab/>
            </w:r>
            <w:r w:rsidR="0065290A">
              <w:rPr>
                <w:noProof/>
                <w:webHidden/>
              </w:rPr>
              <w:fldChar w:fldCharType="begin"/>
            </w:r>
            <w:r w:rsidR="0065290A">
              <w:rPr>
                <w:noProof/>
                <w:webHidden/>
              </w:rPr>
              <w:instrText xml:space="preserve"> PAGEREF _Toc30823468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69" w:history="1">
            <w:r w:rsidR="0065290A" w:rsidRPr="003C1600">
              <w:rPr>
                <w:rStyle w:val="Hipervnculo"/>
                <w:noProof/>
              </w:rPr>
              <w:t>3.2.</w:t>
            </w:r>
            <w:r w:rsidR="0065290A">
              <w:rPr>
                <w:rFonts w:cstheme="minorBidi"/>
                <w:noProof/>
              </w:rPr>
              <w:tab/>
            </w:r>
            <w:r w:rsidR="0065290A" w:rsidRPr="003C1600">
              <w:rPr>
                <w:rStyle w:val="Hipervnculo"/>
                <w:noProof/>
              </w:rPr>
              <w:t>Estimaciones y supuestos</w:t>
            </w:r>
            <w:r w:rsidR="0065290A">
              <w:rPr>
                <w:noProof/>
                <w:webHidden/>
              </w:rPr>
              <w:tab/>
            </w:r>
            <w:r w:rsidR="0065290A">
              <w:rPr>
                <w:noProof/>
                <w:webHidden/>
              </w:rPr>
              <w:fldChar w:fldCharType="begin"/>
            </w:r>
            <w:r w:rsidR="0065290A">
              <w:rPr>
                <w:noProof/>
                <w:webHidden/>
              </w:rPr>
              <w:instrText xml:space="preserve"> PAGEREF _Toc30823469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470" w:history="1">
            <w:r w:rsidR="0065290A" w:rsidRPr="003C1600">
              <w:rPr>
                <w:rStyle w:val="Hipervnculo"/>
                <w:noProof/>
                <w:lang w:val="es-419"/>
              </w:rPr>
              <w:t>3.2.1</w:t>
            </w:r>
            <w:r w:rsidR="0065290A">
              <w:rPr>
                <w:rFonts w:cstheme="minorBidi"/>
                <w:noProof/>
              </w:rPr>
              <w:tab/>
            </w:r>
            <w:r w:rsidR="0065290A" w:rsidRPr="003C1600">
              <w:rPr>
                <w:rStyle w:val="Hipervnculo"/>
                <w:noProof/>
              </w:rPr>
              <w:t>Para efectos de determinar el deterioro de acuerdo a la política de deterioro para activos no generadores de efectivo se aplicó para los bienes muebles Propiedad, Planta y Equipo superiores a 35 SMMMLV</w:t>
            </w:r>
            <w:r w:rsidR="0065290A" w:rsidRPr="003C1600">
              <w:rPr>
                <w:rStyle w:val="Hipervnculo"/>
                <w:noProof/>
                <w:lang w:val="es-419"/>
              </w:rPr>
              <w:t>.</w:t>
            </w:r>
            <w:r w:rsidR="0065290A">
              <w:rPr>
                <w:noProof/>
                <w:webHidden/>
              </w:rPr>
              <w:tab/>
            </w:r>
            <w:r w:rsidR="0065290A">
              <w:rPr>
                <w:noProof/>
                <w:webHidden/>
              </w:rPr>
              <w:fldChar w:fldCharType="begin"/>
            </w:r>
            <w:r w:rsidR="0065290A">
              <w:rPr>
                <w:noProof/>
                <w:webHidden/>
              </w:rPr>
              <w:instrText xml:space="preserve"> PAGEREF _Toc30823470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471" w:history="1">
            <w:r w:rsidR="0065290A" w:rsidRPr="003C1600">
              <w:rPr>
                <w:rStyle w:val="Hipervnculo"/>
                <w:noProof/>
                <w:lang w:val="es-419"/>
              </w:rPr>
              <w:t>3.2.2</w:t>
            </w:r>
            <w:r w:rsidR="0065290A">
              <w:rPr>
                <w:rFonts w:cstheme="minorBidi"/>
                <w:noProof/>
              </w:rPr>
              <w:tab/>
            </w:r>
            <w:r w:rsidR="0065290A" w:rsidRPr="003C1600">
              <w:rPr>
                <w:rStyle w:val="Hipervnculo"/>
                <w:noProof/>
                <w:lang w:val="es-419"/>
              </w:rPr>
              <w:t>En lo relacionado con Litigios Procesos en contra de la Entidad se registra un gasto financiero establecido con el valor presente de los procesos en el aplicativo Siprojweb de la Secretaria Jurídica de Bogotá, D.C.</w:t>
            </w:r>
            <w:r w:rsidR="0065290A">
              <w:rPr>
                <w:noProof/>
                <w:webHidden/>
              </w:rPr>
              <w:tab/>
            </w:r>
            <w:r w:rsidR="0065290A">
              <w:rPr>
                <w:noProof/>
                <w:webHidden/>
              </w:rPr>
              <w:fldChar w:fldCharType="begin"/>
            </w:r>
            <w:r w:rsidR="0065290A">
              <w:rPr>
                <w:noProof/>
                <w:webHidden/>
              </w:rPr>
              <w:instrText xml:space="preserve"> PAGEREF _Toc30823471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72" w:history="1">
            <w:r w:rsidR="0065290A" w:rsidRPr="003C1600">
              <w:rPr>
                <w:rStyle w:val="Hipervnculo"/>
                <w:noProof/>
              </w:rPr>
              <w:t>3.3.</w:t>
            </w:r>
            <w:r w:rsidR="0065290A">
              <w:rPr>
                <w:rFonts w:cstheme="minorBidi"/>
                <w:noProof/>
              </w:rPr>
              <w:tab/>
            </w:r>
            <w:r w:rsidR="0065290A" w:rsidRPr="003C1600">
              <w:rPr>
                <w:rStyle w:val="Hipervnculo"/>
                <w:noProof/>
              </w:rPr>
              <w:t>Correcciones contables</w:t>
            </w:r>
            <w:r w:rsidR="0065290A">
              <w:rPr>
                <w:noProof/>
                <w:webHidden/>
              </w:rPr>
              <w:tab/>
            </w:r>
            <w:r w:rsidR="0065290A">
              <w:rPr>
                <w:noProof/>
                <w:webHidden/>
              </w:rPr>
              <w:fldChar w:fldCharType="begin"/>
            </w:r>
            <w:r w:rsidR="0065290A">
              <w:rPr>
                <w:noProof/>
                <w:webHidden/>
              </w:rPr>
              <w:instrText xml:space="preserve"> PAGEREF _Toc30823472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73" w:history="1">
            <w:r w:rsidR="0065290A" w:rsidRPr="003C1600">
              <w:rPr>
                <w:rStyle w:val="Hipervnculo"/>
                <w:noProof/>
              </w:rPr>
              <w:t>NOTA 4. RESUMEN DE POLÍTICAS CONTABLES</w:t>
            </w:r>
            <w:r w:rsidR="0065290A">
              <w:rPr>
                <w:noProof/>
                <w:webHidden/>
              </w:rPr>
              <w:tab/>
            </w:r>
            <w:r w:rsidR="0065290A">
              <w:rPr>
                <w:noProof/>
                <w:webHidden/>
              </w:rPr>
              <w:fldChar w:fldCharType="begin"/>
            </w:r>
            <w:r w:rsidR="0065290A">
              <w:rPr>
                <w:noProof/>
                <w:webHidden/>
              </w:rPr>
              <w:instrText xml:space="preserve"> PAGEREF _Toc30823473 \h </w:instrText>
            </w:r>
            <w:r w:rsidR="0065290A">
              <w:rPr>
                <w:noProof/>
                <w:webHidden/>
              </w:rPr>
            </w:r>
            <w:r w:rsidR="0065290A">
              <w:rPr>
                <w:noProof/>
                <w:webHidden/>
              </w:rPr>
              <w:fldChar w:fldCharType="separate"/>
            </w:r>
            <w:r w:rsidR="0065290A">
              <w:rPr>
                <w:noProof/>
                <w:webHidden/>
              </w:rPr>
              <w:t>10</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74" w:history="1">
            <w:r w:rsidR="0065290A" w:rsidRPr="003C1600">
              <w:rPr>
                <w:rStyle w:val="Hipervnculo"/>
                <w:noProof/>
              </w:rPr>
              <w:t>NOTA 5. EFECTIVO Y EQUIVALENTES AL EFECTIVO</w:t>
            </w:r>
            <w:r w:rsidR="0065290A">
              <w:rPr>
                <w:noProof/>
                <w:webHidden/>
              </w:rPr>
              <w:tab/>
            </w:r>
            <w:r w:rsidR="0065290A">
              <w:rPr>
                <w:noProof/>
                <w:webHidden/>
              </w:rPr>
              <w:fldChar w:fldCharType="begin"/>
            </w:r>
            <w:r w:rsidR="0065290A">
              <w:rPr>
                <w:noProof/>
                <w:webHidden/>
              </w:rPr>
              <w:instrText xml:space="preserve"> PAGEREF _Toc30823474 \h </w:instrText>
            </w:r>
            <w:r w:rsidR="0065290A">
              <w:rPr>
                <w:noProof/>
                <w:webHidden/>
              </w:rPr>
            </w:r>
            <w:r w:rsidR="0065290A">
              <w:rPr>
                <w:noProof/>
                <w:webHidden/>
              </w:rPr>
              <w:fldChar w:fldCharType="separate"/>
            </w:r>
            <w:r w:rsidR="0065290A">
              <w:rPr>
                <w:noProof/>
                <w:webHidden/>
              </w:rPr>
              <w:t>11</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75"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_Toc30823475 \h </w:instrText>
            </w:r>
            <w:r w:rsidR="0065290A">
              <w:rPr>
                <w:noProof/>
                <w:webHidden/>
              </w:rPr>
            </w:r>
            <w:r w:rsidR="0065290A">
              <w:rPr>
                <w:noProof/>
                <w:webHidden/>
              </w:rPr>
              <w:fldChar w:fldCharType="separate"/>
            </w:r>
            <w:r w:rsidR="0065290A">
              <w:rPr>
                <w:noProof/>
                <w:webHidden/>
              </w:rPr>
              <w:t>11</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76" w:history="1">
            <w:r w:rsidR="0065290A" w:rsidRPr="003C1600">
              <w:rPr>
                <w:rStyle w:val="Hipervnculo"/>
                <w:noProof/>
              </w:rPr>
              <w:t>5.1.</w:t>
            </w:r>
            <w:r w:rsidR="0065290A">
              <w:rPr>
                <w:rFonts w:cstheme="minorBidi"/>
                <w:noProof/>
              </w:rPr>
              <w:tab/>
            </w:r>
            <w:r w:rsidR="0065290A" w:rsidRPr="003C1600">
              <w:rPr>
                <w:rStyle w:val="Hipervnculo"/>
                <w:noProof/>
              </w:rPr>
              <w:t>Depósitos en instituciones financieras</w:t>
            </w:r>
            <w:r w:rsidR="0065290A">
              <w:rPr>
                <w:noProof/>
                <w:webHidden/>
              </w:rPr>
              <w:tab/>
            </w:r>
            <w:r w:rsidR="0065290A">
              <w:rPr>
                <w:noProof/>
                <w:webHidden/>
              </w:rPr>
              <w:fldChar w:fldCharType="begin"/>
            </w:r>
            <w:r w:rsidR="0065290A">
              <w:rPr>
                <w:noProof/>
                <w:webHidden/>
              </w:rPr>
              <w:instrText xml:space="preserve"> PAGEREF _Toc30823476 \h </w:instrText>
            </w:r>
            <w:r w:rsidR="0065290A">
              <w:rPr>
                <w:noProof/>
                <w:webHidden/>
              </w:rPr>
            </w:r>
            <w:r w:rsidR="0065290A">
              <w:rPr>
                <w:noProof/>
                <w:webHidden/>
              </w:rPr>
              <w:fldChar w:fldCharType="separate"/>
            </w:r>
            <w:r w:rsidR="0065290A">
              <w:rPr>
                <w:noProof/>
                <w:webHidden/>
              </w:rPr>
              <w:t>12</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77" w:history="1">
            <w:r w:rsidR="0065290A" w:rsidRPr="003C1600">
              <w:rPr>
                <w:rStyle w:val="Hipervnculo"/>
                <w:noProof/>
              </w:rPr>
              <w:t>NOTA 7. CUENTAS POR COBRAR</w:t>
            </w:r>
            <w:r w:rsidR="0065290A">
              <w:rPr>
                <w:noProof/>
                <w:webHidden/>
              </w:rPr>
              <w:tab/>
            </w:r>
            <w:r w:rsidR="0065290A">
              <w:rPr>
                <w:noProof/>
                <w:webHidden/>
              </w:rPr>
              <w:fldChar w:fldCharType="begin"/>
            </w:r>
            <w:r w:rsidR="0065290A">
              <w:rPr>
                <w:noProof/>
                <w:webHidden/>
              </w:rPr>
              <w:instrText xml:space="preserve"> PAGEREF _Toc30823477 \h </w:instrText>
            </w:r>
            <w:r w:rsidR="0065290A">
              <w:rPr>
                <w:noProof/>
                <w:webHidden/>
              </w:rPr>
            </w:r>
            <w:r w:rsidR="0065290A">
              <w:rPr>
                <w:noProof/>
                <w:webHidden/>
              </w:rPr>
              <w:fldChar w:fldCharType="separate"/>
            </w:r>
            <w:r w:rsidR="0065290A">
              <w:rPr>
                <w:noProof/>
                <w:webHidden/>
              </w:rPr>
              <w:t>13</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78"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_Toc30823478 \h </w:instrText>
            </w:r>
            <w:r w:rsidR="0065290A">
              <w:rPr>
                <w:noProof/>
                <w:webHidden/>
              </w:rPr>
            </w:r>
            <w:r w:rsidR="0065290A">
              <w:rPr>
                <w:noProof/>
                <w:webHidden/>
              </w:rPr>
              <w:fldChar w:fldCharType="separate"/>
            </w:r>
            <w:r w:rsidR="0065290A">
              <w:rPr>
                <w:noProof/>
                <w:webHidden/>
              </w:rPr>
              <w:t>13</w:t>
            </w:r>
            <w:r w:rsidR="0065290A">
              <w:rPr>
                <w:noProof/>
                <w:webHidden/>
              </w:rPr>
              <w:fldChar w:fldCharType="end"/>
            </w:r>
          </w:hyperlink>
        </w:p>
        <w:p w:rsidR="0065290A" w:rsidRDefault="00A67903" w:rsidP="0065290A">
          <w:pPr>
            <w:pStyle w:val="TDC2"/>
            <w:tabs>
              <w:tab w:val="left" w:pos="880"/>
              <w:tab w:val="right" w:leader="dot" w:pos="9111"/>
            </w:tabs>
            <w:rPr>
              <w:rFonts w:cstheme="minorBidi"/>
              <w:noProof/>
            </w:rPr>
          </w:pPr>
          <w:hyperlink w:anchor="_Toc30823479" w:history="1">
            <w:r w:rsidR="0065290A" w:rsidRPr="003C1600">
              <w:rPr>
                <w:rStyle w:val="Hipervnculo"/>
                <w:noProof/>
              </w:rPr>
              <w:t>7.2.</w:t>
            </w:r>
            <w:r w:rsidR="0065290A">
              <w:rPr>
                <w:rFonts w:cstheme="minorBidi"/>
                <w:noProof/>
              </w:rPr>
              <w:tab/>
            </w:r>
            <w:r w:rsidR="0065290A" w:rsidRPr="003C1600">
              <w:rPr>
                <w:rStyle w:val="Hipervnculo"/>
                <w:noProof/>
              </w:rPr>
              <w:t>Contribuciones tasas e ingresos no tributarios</w:t>
            </w:r>
            <w:r w:rsidR="0065290A">
              <w:rPr>
                <w:noProof/>
                <w:webHidden/>
              </w:rPr>
              <w:tab/>
            </w:r>
            <w:r w:rsidR="0065290A">
              <w:rPr>
                <w:noProof/>
                <w:webHidden/>
              </w:rPr>
              <w:fldChar w:fldCharType="begin"/>
            </w:r>
            <w:r w:rsidR="0065290A">
              <w:rPr>
                <w:noProof/>
                <w:webHidden/>
              </w:rPr>
              <w:instrText xml:space="preserve"> PAGEREF _Toc30823479 \h </w:instrText>
            </w:r>
            <w:r w:rsidR="0065290A">
              <w:rPr>
                <w:noProof/>
                <w:webHidden/>
              </w:rPr>
            </w:r>
            <w:r w:rsidR="0065290A">
              <w:rPr>
                <w:noProof/>
                <w:webHidden/>
              </w:rPr>
              <w:fldChar w:fldCharType="separate"/>
            </w:r>
            <w:r w:rsidR="0065290A">
              <w:rPr>
                <w:noProof/>
                <w:webHidden/>
              </w:rPr>
              <w:t>14</w:t>
            </w:r>
            <w:r w:rsidR="0065290A">
              <w:rPr>
                <w:noProof/>
                <w:webHidden/>
              </w:rPr>
              <w:fldChar w:fldCharType="end"/>
            </w:r>
          </w:hyperlink>
        </w:p>
        <w:p w:rsidR="0065290A" w:rsidRDefault="00A67903" w:rsidP="0065290A">
          <w:pPr>
            <w:pStyle w:val="TDC3"/>
            <w:rPr>
              <w:rFonts w:cstheme="minorBidi"/>
              <w:noProof/>
            </w:rPr>
          </w:pPr>
          <w:hyperlink w:anchor="_Toc30823480" w:history="1">
            <w:r w:rsidR="0065290A" w:rsidRPr="003C1600">
              <w:rPr>
                <w:rStyle w:val="Hipervnculo"/>
                <w:noProof/>
              </w:rPr>
              <w:t>Anexo 7.2.</w:t>
            </w:r>
            <w:r w:rsidR="0065290A">
              <w:rPr>
                <w:noProof/>
                <w:webHidden/>
              </w:rPr>
              <w:tab/>
            </w:r>
            <w:r w:rsidR="0065290A">
              <w:rPr>
                <w:noProof/>
                <w:webHidden/>
              </w:rPr>
              <w:fldChar w:fldCharType="begin"/>
            </w:r>
            <w:r w:rsidR="0065290A">
              <w:rPr>
                <w:noProof/>
                <w:webHidden/>
              </w:rPr>
              <w:instrText xml:space="preserve"> PAGEREF _Toc30823480 \h </w:instrText>
            </w:r>
            <w:r w:rsidR="0065290A">
              <w:rPr>
                <w:noProof/>
                <w:webHidden/>
              </w:rPr>
            </w:r>
            <w:r w:rsidR="0065290A">
              <w:rPr>
                <w:noProof/>
                <w:webHidden/>
              </w:rPr>
              <w:fldChar w:fldCharType="separate"/>
            </w:r>
            <w:r w:rsidR="0065290A">
              <w:rPr>
                <w:noProof/>
                <w:webHidden/>
              </w:rPr>
              <w:t>14</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81" w:history="1">
            <w:r w:rsidR="0065290A" w:rsidRPr="003C1600">
              <w:rPr>
                <w:rStyle w:val="Hipervnculo"/>
                <w:noProof/>
                <w:lang w:val="es-419"/>
              </w:rPr>
              <w:t xml:space="preserve">7.18. </w:t>
            </w:r>
            <w:r w:rsidR="0065290A" w:rsidRPr="003C1600">
              <w:rPr>
                <w:rStyle w:val="Hipervnculo"/>
                <w:noProof/>
              </w:rPr>
              <w:t>Cuentas por cobrar de difícil recaudo</w:t>
            </w:r>
            <w:r w:rsidR="0065290A">
              <w:rPr>
                <w:noProof/>
                <w:webHidden/>
              </w:rPr>
              <w:tab/>
            </w:r>
            <w:r w:rsidR="0065290A">
              <w:rPr>
                <w:noProof/>
                <w:webHidden/>
              </w:rPr>
              <w:fldChar w:fldCharType="begin"/>
            </w:r>
            <w:r w:rsidR="0065290A">
              <w:rPr>
                <w:noProof/>
                <w:webHidden/>
              </w:rPr>
              <w:instrText xml:space="preserve"> PAGEREF _Toc30823481 \h </w:instrText>
            </w:r>
            <w:r w:rsidR="0065290A">
              <w:rPr>
                <w:noProof/>
                <w:webHidden/>
              </w:rPr>
            </w:r>
            <w:r w:rsidR="0065290A">
              <w:rPr>
                <w:noProof/>
                <w:webHidden/>
              </w:rPr>
              <w:fldChar w:fldCharType="separate"/>
            </w:r>
            <w:r w:rsidR="0065290A">
              <w:rPr>
                <w:noProof/>
                <w:webHidden/>
              </w:rPr>
              <w:t>14</w:t>
            </w:r>
            <w:r w:rsidR="0065290A">
              <w:rPr>
                <w:noProof/>
                <w:webHidden/>
              </w:rPr>
              <w:fldChar w:fldCharType="end"/>
            </w:r>
          </w:hyperlink>
        </w:p>
        <w:p w:rsidR="0065290A" w:rsidRDefault="00A67903" w:rsidP="0065290A">
          <w:pPr>
            <w:pStyle w:val="TDC3"/>
            <w:rPr>
              <w:rFonts w:cstheme="minorBidi"/>
              <w:noProof/>
            </w:rPr>
          </w:pPr>
          <w:hyperlink w:anchor="_Toc30823482" w:history="1">
            <w:r w:rsidR="0065290A" w:rsidRPr="003C1600">
              <w:rPr>
                <w:rStyle w:val="Hipervnculo"/>
                <w:noProof/>
                <w:lang w:val="es-419"/>
              </w:rPr>
              <w:t>Anexo 7.18.</w:t>
            </w:r>
            <w:r w:rsidR="0065290A">
              <w:rPr>
                <w:noProof/>
                <w:webHidden/>
              </w:rPr>
              <w:tab/>
            </w:r>
            <w:r w:rsidR="0065290A">
              <w:rPr>
                <w:noProof/>
                <w:webHidden/>
              </w:rPr>
              <w:fldChar w:fldCharType="begin"/>
            </w:r>
            <w:r w:rsidR="0065290A">
              <w:rPr>
                <w:noProof/>
                <w:webHidden/>
              </w:rPr>
              <w:instrText xml:space="preserve"> PAGEREF _Toc30823482 \h </w:instrText>
            </w:r>
            <w:r w:rsidR="0065290A">
              <w:rPr>
                <w:noProof/>
                <w:webHidden/>
              </w:rPr>
            </w:r>
            <w:r w:rsidR="0065290A">
              <w:rPr>
                <w:noProof/>
                <w:webHidden/>
              </w:rPr>
              <w:fldChar w:fldCharType="separate"/>
            </w:r>
            <w:r w:rsidR="0065290A">
              <w:rPr>
                <w:noProof/>
                <w:webHidden/>
              </w:rPr>
              <w:t>14</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83" w:history="1">
            <w:r w:rsidR="0065290A" w:rsidRPr="003C1600">
              <w:rPr>
                <w:rStyle w:val="Hipervnculo"/>
                <w:noProof/>
              </w:rPr>
              <w:t>NOTA 10. PROPIEDADES, PLANTA Y EQUIPO</w:t>
            </w:r>
            <w:r w:rsidR="0065290A">
              <w:rPr>
                <w:noProof/>
                <w:webHidden/>
              </w:rPr>
              <w:tab/>
            </w:r>
            <w:r w:rsidR="0065290A">
              <w:rPr>
                <w:noProof/>
                <w:webHidden/>
              </w:rPr>
              <w:fldChar w:fldCharType="begin"/>
            </w:r>
            <w:r w:rsidR="0065290A">
              <w:rPr>
                <w:noProof/>
                <w:webHidden/>
              </w:rPr>
              <w:instrText xml:space="preserve"> PAGEREF _Toc30823483 \h </w:instrText>
            </w:r>
            <w:r w:rsidR="0065290A">
              <w:rPr>
                <w:noProof/>
                <w:webHidden/>
              </w:rPr>
            </w:r>
            <w:r w:rsidR="0065290A">
              <w:rPr>
                <w:noProof/>
                <w:webHidden/>
              </w:rPr>
              <w:fldChar w:fldCharType="separate"/>
            </w:r>
            <w:r w:rsidR="0065290A">
              <w:rPr>
                <w:noProof/>
                <w:webHidden/>
              </w:rPr>
              <w:t>14</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84"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_Toc30823484 \h </w:instrText>
            </w:r>
            <w:r w:rsidR="0065290A">
              <w:rPr>
                <w:noProof/>
                <w:webHidden/>
              </w:rPr>
            </w:r>
            <w:r w:rsidR="0065290A">
              <w:rPr>
                <w:noProof/>
                <w:webHidden/>
              </w:rPr>
              <w:fldChar w:fldCharType="separate"/>
            </w:r>
            <w:r w:rsidR="0065290A">
              <w:rPr>
                <w:noProof/>
                <w:webHidden/>
              </w:rPr>
              <w:t>15</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485" w:history="1">
            <w:r w:rsidR="0065290A" w:rsidRPr="003C1600">
              <w:rPr>
                <w:rStyle w:val="Hipervnculo"/>
                <w:noProof/>
              </w:rPr>
              <w:t>10.1.</w:t>
            </w:r>
            <w:r w:rsidR="0065290A">
              <w:rPr>
                <w:rFonts w:cstheme="minorBidi"/>
                <w:noProof/>
              </w:rPr>
              <w:tab/>
            </w:r>
            <w:r w:rsidR="0065290A" w:rsidRPr="003C1600">
              <w:rPr>
                <w:rStyle w:val="Hipervnculo"/>
                <w:noProof/>
              </w:rPr>
              <w:t>Detalle saldos y movimientos PPE - Muebles</w:t>
            </w:r>
            <w:r w:rsidR="0065290A">
              <w:rPr>
                <w:noProof/>
                <w:webHidden/>
              </w:rPr>
              <w:tab/>
            </w:r>
            <w:r w:rsidR="0065290A">
              <w:rPr>
                <w:noProof/>
                <w:webHidden/>
              </w:rPr>
              <w:fldChar w:fldCharType="begin"/>
            </w:r>
            <w:r w:rsidR="0065290A">
              <w:rPr>
                <w:noProof/>
                <w:webHidden/>
              </w:rPr>
              <w:instrText xml:space="preserve"> PAGEREF _Toc30823485 \h </w:instrText>
            </w:r>
            <w:r w:rsidR="0065290A">
              <w:rPr>
                <w:noProof/>
                <w:webHidden/>
              </w:rPr>
            </w:r>
            <w:r w:rsidR="0065290A">
              <w:rPr>
                <w:noProof/>
                <w:webHidden/>
              </w:rPr>
              <w:fldChar w:fldCharType="separate"/>
            </w:r>
            <w:r w:rsidR="0065290A">
              <w:rPr>
                <w:noProof/>
                <w:webHidden/>
              </w:rPr>
              <w:t>16</w:t>
            </w:r>
            <w:r w:rsidR="0065290A">
              <w:rPr>
                <w:noProof/>
                <w:webHidden/>
              </w:rPr>
              <w:fldChar w:fldCharType="end"/>
            </w:r>
          </w:hyperlink>
        </w:p>
        <w:p w:rsidR="0065290A" w:rsidRDefault="00A67903" w:rsidP="0065290A">
          <w:pPr>
            <w:pStyle w:val="TDC3"/>
            <w:rPr>
              <w:rFonts w:cstheme="minorBidi"/>
              <w:noProof/>
            </w:rPr>
          </w:pPr>
          <w:hyperlink w:anchor="_Toc30823486" w:history="1">
            <w:r w:rsidR="0065290A" w:rsidRPr="003C1600">
              <w:rPr>
                <w:rStyle w:val="Hipervnculo"/>
                <w:noProof/>
                <w:lang w:val="es-419"/>
              </w:rPr>
              <w:t>Anexo 10.1</w:t>
            </w:r>
            <w:r w:rsidR="0065290A">
              <w:rPr>
                <w:noProof/>
                <w:webHidden/>
              </w:rPr>
              <w:tab/>
            </w:r>
            <w:r w:rsidR="0065290A">
              <w:rPr>
                <w:noProof/>
                <w:webHidden/>
              </w:rPr>
              <w:fldChar w:fldCharType="begin"/>
            </w:r>
            <w:r w:rsidR="0065290A">
              <w:rPr>
                <w:noProof/>
                <w:webHidden/>
              </w:rPr>
              <w:instrText xml:space="preserve"> PAGEREF _Toc30823486 \h </w:instrText>
            </w:r>
            <w:r w:rsidR="0065290A">
              <w:rPr>
                <w:noProof/>
                <w:webHidden/>
              </w:rPr>
            </w:r>
            <w:r w:rsidR="0065290A">
              <w:rPr>
                <w:noProof/>
                <w:webHidden/>
              </w:rPr>
              <w:fldChar w:fldCharType="separate"/>
            </w:r>
            <w:r w:rsidR="0065290A">
              <w:rPr>
                <w:noProof/>
                <w:webHidden/>
              </w:rPr>
              <w:t>16</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87" w:history="1">
            <w:r w:rsidR="0065290A" w:rsidRPr="003C1600">
              <w:rPr>
                <w:rStyle w:val="Hipervnculo"/>
                <w:noProof/>
                <w:lang w:val="es-419"/>
              </w:rPr>
              <w:t>10.2.</w:t>
            </w:r>
            <w:r w:rsidR="0065290A" w:rsidRPr="003C1600">
              <w:rPr>
                <w:rStyle w:val="Hipervnculo"/>
                <w:noProof/>
              </w:rPr>
              <w:t>Detalle saldos y movimientos PPE – Inmuebles</w:t>
            </w:r>
            <w:r w:rsidR="0065290A">
              <w:rPr>
                <w:noProof/>
                <w:webHidden/>
              </w:rPr>
              <w:tab/>
            </w:r>
            <w:r w:rsidR="0065290A">
              <w:rPr>
                <w:noProof/>
                <w:webHidden/>
              </w:rPr>
              <w:fldChar w:fldCharType="begin"/>
            </w:r>
            <w:r w:rsidR="0065290A">
              <w:rPr>
                <w:noProof/>
                <w:webHidden/>
              </w:rPr>
              <w:instrText xml:space="preserve"> PAGEREF _Toc30823487 \h </w:instrText>
            </w:r>
            <w:r w:rsidR="0065290A">
              <w:rPr>
                <w:noProof/>
                <w:webHidden/>
              </w:rPr>
            </w:r>
            <w:r w:rsidR="0065290A">
              <w:rPr>
                <w:noProof/>
                <w:webHidden/>
              </w:rPr>
              <w:fldChar w:fldCharType="separate"/>
            </w:r>
            <w:r w:rsidR="0065290A">
              <w:rPr>
                <w:noProof/>
                <w:webHidden/>
              </w:rPr>
              <w:t>16</w:t>
            </w:r>
            <w:r w:rsidR="0065290A">
              <w:rPr>
                <w:noProof/>
                <w:webHidden/>
              </w:rPr>
              <w:fldChar w:fldCharType="end"/>
            </w:r>
          </w:hyperlink>
        </w:p>
        <w:p w:rsidR="0065290A" w:rsidRDefault="00A67903" w:rsidP="0065290A">
          <w:pPr>
            <w:pStyle w:val="TDC3"/>
            <w:rPr>
              <w:rFonts w:cstheme="minorBidi"/>
              <w:noProof/>
            </w:rPr>
          </w:pPr>
          <w:hyperlink w:anchor="_Toc30823488" w:history="1">
            <w:r w:rsidR="0065290A" w:rsidRPr="003C1600">
              <w:rPr>
                <w:rStyle w:val="Hipervnculo"/>
                <w:noProof/>
                <w:lang w:val="es-419"/>
              </w:rPr>
              <w:t>Anexo 10.2</w:t>
            </w:r>
            <w:r w:rsidR="0065290A">
              <w:rPr>
                <w:noProof/>
                <w:webHidden/>
              </w:rPr>
              <w:tab/>
            </w:r>
            <w:r w:rsidR="0065290A">
              <w:rPr>
                <w:noProof/>
                <w:webHidden/>
              </w:rPr>
              <w:fldChar w:fldCharType="begin"/>
            </w:r>
            <w:r w:rsidR="0065290A">
              <w:rPr>
                <w:noProof/>
                <w:webHidden/>
              </w:rPr>
              <w:instrText xml:space="preserve"> PAGEREF _Toc30823488 \h </w:instrText>
            </w:r>
            <w:r w:rsidR="0065290A">
              <w:rPr>
                <w:noProof/>
                <w:webHidden/>
              </w:rPr>
            </w:r>
            <w:r w:rsidR="0065290A">
              <w:rPr>
                <w:noProof/>
                <w:webHidden/>
              </w:rPr>
              <w:fldChar w:fldCharType="separate"/>
            </w:r>
            <w:r w:rsidR="0065290A">
              <w:rPr>
                <w:noProof/>
                <w:webHidden/>
              </w:rPr>
              <w:t>16</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89" w:history="1">
            <w:r w:rsidR="0065290A" w:rsidRPr="003C1600">
              <w:rPr>
                <w:rStyle w:val="Hipervnculo"/>
                <w:noProof/>
              </w:rPr>
              <w:t>NOTA 13. PROPIEDADES DE INVERSIÓN</w:t>
            </w:r>
            <w:r w:rsidR="0065290A">
              <w:rPr>
                <w:noProof/>
                <w:webHidden/>
              </w:rPr>
              <w:tab/>
            </w:r>
            <w:r w:rsidR="0065290A">
              <w:rPr>
                <w:noProof/>
                <w:webHidden/>
              </w:rPr>
              <w:fldChar w:fldCharType="begin"/>
            </w:r>
            <w:r w:rsidR="0065290A">
              <w:rPr>
                <w:noProof/>
                <w:webHidden/>
              </w:rPr>
              <w:instrText xml:space="preserve"> PAGEREF _Toc30823489 \h </w:instrText>
            </w:r>
            <w:r w:rsidR="0065290A">
              <w:rPr>
                <w:noProof/>
                <w:webHidden/>
              </w:rPr>
            </w:r>
            <w:r w:rsidR="0065290A">
              <w:rPr>
                <w:noProof/>
                <w:webHidden/>
              </w:rPr>
              <w:fldChar w:fldCharType="separate"/>
            </w:r>
            <w:r w:rsidR="0065290A">
              <w:rPr>
                <w:noProof/>
                <w:webHidden/>
              </w:rPr>
              <w:t>17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0"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_Toc30823490 \h </w:instrText>
            </w:r>
            <w:r w:rsidR="0065290A">
              <w:rPr>
                <w:noProof/>
                <w:webHidden/>
              </w:rPr>
            </w:r>
            <w:r w:rsidR="0065290A">
              <w:rPr>
                <w:noProof/>
                <w:webHidden/>
              </w:rPr>
              <w:fldChar w:fldCharType="separate"/>
            </w:r>
            <w:r w:rsidR="0065290A">
              <w:rPr>
                <w:noProof/>
                <w:webHidden/>
              </w:rPr>
              <w:t>17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1" w:history="1">
            <w:r w:rsidR="0065290A" w:rsidRPr="003C1600">
              <w:rPr>
                <w:rStyle w:val="Hipervnculo"/>
                <w:noProof/>
                <w:lang w:val="es-419"/>
              </w:rPr>
              <w:t>Anexo  13.1 Detalle de saldos y movimientos</w:t>
            </w:r>
            <w:r w:rsidR="0065290A">
              <w:rPr>
                <w:noProof/>
                <w:webHidden/>
              </w:rPr>
              <w:tab/>
            </w:r>
            <w:r w:rsidR="0065290A">
              <w:rPr>
                <w:noProof/>
                <w:webHidden/>
              </w:rPr>
              <w:fldChar w:fldCharType="begin"/>
            </w:r>
            <w:r w:rsidR="0065290A">
              <w:rPr>
                <w:noProof/>
                <w:webHidden/>
              </w:rPr>
              <w:instrText xml:space="preserve"> PAGEREF _Toc30823491 \h </w:instrText>
            </w:r>
            <w:r w:rsidR="0065290A">
              <w:rPr>
                <w:noProof/>
                <w:webHidden/>
              </w:rPr>
            </w:r>
            <w:r w:rsidR="0065290A">
              <w:rPr>
                <w:noProof/>
                <w:webHidden/>
              </w:rPr>
              <w:fldChar w:fldCharType="separate"/>
            </w:r>
            <w:r w:rsidR="0065290A">
              <w:rPr>
                <w:noProof/>
                <w:webHidden/>
              </w:rPr>
              <w:t>17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2" w:history="1">
            <w:r w:rsidR="0065290A" w:rsidRPr="003C1600">
              <w:rPr>
                <w:rStyle w:val="Hipervnculo"/>
                <w:noProof/>
                <w:lang w:val="es-419"/>
              </w:rPr>
              <w:t>Anexo – 13.2 Revelaciones Adicionales</w:t>
            </w:r>
            <w:r w:rsidR="0065290A">
              <w:rPr>
                <w:noProof/>
                <w:webHidden/>
              </w:rPr>
              <w:tab/>
            </w:r>
            <w:r w:rsidR="0065290A">
              <w:rPr>
                <w:noProof/>
                <w:webHidden/>
              </w:rPr>
              <w:fldChar w:fldCharType="begin"/>
            </w:r>
            <w:r w:rsidR="0065290A">
              <w:rPr>
                <w:noProof/>
                <w:webHidden/>
              </w:rPr>
              <w:instrText xml:space="preserve"> PAGEREF _Toc30823492 \h </w:instrText>
            </w:r>
            <w:r w:rsidR="0065290A">
              <w:rPr>
                <w:noProof/>
                <w:webHidden/>
              </w:rPr>
            </w:r>
            <w:r w:rsidR="0065290A">
              <w:rPr>
                <w:noProof/>
                <w:webHidden/>
              </w:rPr>
              <w:fldChar w:fldCharType="separate"/>
            </w:r>
            <w:r w:rsidR="0065290A">
              <w:rPr>
                <w:noProof/>
                <w:webHidden/>
              </w:rPr>
              <w:t>18</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493" w:history="1">
            <w:r w:rsidR="0065290A" w:rsidRPr="003C1600">
              <w:rPr>
                <w:rStyle w:val="Hipervnculo"/>
                <w:noProof/>
              </w:rPr>
              <w:t>NOTA 14. ACTIVOS INTANGIBLES</w:t>
            </w:r>
            <w:r w:rsidR="0065290A">
              <w:rPr>
                <w:noProof/>
                <w:webHidden/>
              </w:rPr>
              <w:tab/>
            </w:r>
            <w:r w:rsidR="0065290A">
              <w:rPr>
                <w:noProof/>
                <w:webHidden/>
              </w:rPr>
              <w:fldChar w:fldCharType="begin"/>
            </w:r>
            <w:r w:rsidR="0065290A">
              <w:rPr>
                <w:noProof/>
                <w:webHidden/>
              </w:rPr>
              <w:instrText xml:space="preserve"> PAGEREF _Toc30823493 \h </w:instrText>
            </w:r>
            <w:r w:rsidR="0065290A">
              <w:rPr>
                <w:noProof/>
                <w:webHidden/>
              </w:rPr>
            </w:r>
            <w:r w:rsidR="0065290A">
              <w:rPr>
                <w:noProof/>
                <w:webHidden/>
              </w:rPr>
              <w:fldChar w:fldCharType="separate"/>
            </w:r>
            <w:r w:rsidR="0065290A">
              <w:rPr>
                <w:noProof/>
                <w:webHidden/>
              </w:rPr>
              <w:t>18</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4"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_Toc30823494 \h </w:instrText>
            </w:r>
            <w:r w:rsidR="0065290A">
              <w:rPr>
                <w:noProof/>
                <w:webHidden/>
              </w:rPr>
            </w:r>
            <w:r w:rsidR="0065290A">
              <w:rPr>
                <w:noProof/>
                <w:webHidden/>
              </w:rPr>
              <w:fldChar w:fldCharType="separate"/>
            </w:r>
            <w:r w:rsidR="0065290A">
              <w:rPr>
                <w:noProof/>
                <w:webHidden/>
              </w:rPr>
              <w:t>18</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5" w:history="1">
            <w:r w:rsidR="0065290A" w:rsidRPr="003C1600">
              <w:rPr>
                <w:rStyle w:val="Hipervnculo"/>
                <w:noProof/>
                <w:lang w:val="es-419"/>
              </w:rPr>
              <w:t>Vida útil</w:t>
            </w:r>
            <w:r w:rsidR="0065290A">
              <w:rPr>
                <w:noProof/>
                <w:webHidden/>
              </w:rPr>
              <w:tab/>
            </w:r>
            <w:r w:rsidR="0065290A">
              <w:rPr>
                <w:noProof/>
                <w:webHidden/>
              </w:rPr>
              <w:fldChar w:fldCharType="begin"/>
            </w:r>
            <w:r w:rsidR="0065290A">
              <w:rPr>
                <w:noProof/>
                <w:webHidden/>
              </w:rPr>
              <w:instrText xml:space="preserve"> PAGEREF _Toc30823495 \h </w:instrText>
            </w:r>
            <w:r w:rsidR="0065290A">
              <w:rPr>
                <w:noProof/>
                <w:webHidden/>
              </w:rPr>
            </w:r>
            <w:r w:rsidR="0065290A">
              <w:rPr>
                <w:noProof/>
                <w:webHidden/>
              </w:rPr>
              <w:fldChar w:fldCharType="separate"/>
            </w:r>
            <w:r w:rsidR="0065290A">
              <w:rPr>
                <w:noProof/>
                <w:webHidden/>
              </w:rPr>
              <w:t>19</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497" w:history="1">
            <w:r w:rsidR="0065290A" w:rsidRPr="003C1600">
              <w:rPr>
                <w:rStyle w:val="Hipervnculo"/>
                <w:noProof/>
              </w:rPr>
              <w:t>14.1.</w:t>
            </w:r>
            <w:r w:rsidR="0065290A">
              <w:rPr>
                <w:rFonts w:cstheme="minorBidi"/>
                <w:noProof/>
              </w:rPr>
              <w:tab/>
            </w:r>
            <w:r w:rsidR="0065290A" w:rsidRPr="003C1600">
              <w:rPr>
                <w:rStyle w:val="Hipervnculo"/>
                <w:noProof/>
              </w:rPr>
              <w:t>Detalle saldos y movimientos</w:t>
            </w:r>
            <w:r w:rsidR="0065290A">
              <w:rPr>
                <w:noProof/>
                <w:webHidden/>
              </w:rPr>
              <w:tab/>
            </w:r>
            <w:r w:rsidR="0065290A">
              <w:rPr>
                <w:noProof/>
                <w:webHidden/>
              </w:rPr>
              <w:fldChar w:fldCharType="begin"/>
            </w:r>
            <w:r w:rsidR="0065290A">
              <w:rPr>
                <w:noProof/>
                <w:webHidden/>
              </w:rPr>
              <w:instrText xml:space="preserve"> PAGEREF _Toc30823497 \h </w:instrText>
            </w:r>
            <w:r w:rsidR="0065290A">
              <w:rPr>
                <w:noProof/>
                <w:webHidden/>
              </w:rPr>
            </w:r>
            <w:r w:rsidR="0065290A">
              <w:rPr>
                <w:noProof/>
                <w:webHidden/>
              </w:rPr>
              <w:fldChar w:fldCharType="separate"/>
            </w:r>
            <w:r w:rsidR="0065290A">
              <w:rPr>
                <w:noProof/>
                <w:webHidden/>
              </w:rPr>
              <w:t>20</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8" w:history="1">
            <w:r w:rsidR="0065290A" w:rsidRPr="003C1600">
              <w:rPr>
                <w:rStyle w:val="Hipervnculo"/>
                <w:noProof/>
                <w:lang w:val="es-419"/>
              </w:rPr>
              <w:t>Anexo 14.1 – Detalle Saldos y Movimientos</w:t>
            </w:r>
            <w:r w:rsidR="0065290A">
              <w:rPr>
                <w:noProof/>
                <w:webHidden/>
              </w:rPr>
              <w:tab/>
            </w:r>
            <w:r w:rsidR="0065290A">
              <w:rPr>
                <w:noProof/>
                <w:webHidden/>
              </w:rPr>
              <w:fldChar w:fldCharType="begin"/>
            </w:r>
            <w:r w:rsidR="0065290A">
              <w:rPr>
                <w:noProof/>
                <w:webHidden/>
              </w:rPr>
              <w:instrText xml:space="preserve"> PAGEREF _Toc30823498 \h </w:instrText>
            </w:r>
            <w:r w:rsidR="0065290A">
              <w:rPr>
                <w:noProof/>
                <w:webHidden/>
              </w:rPr>
            </w:r>
            <w:r w:rsidR="0065290A">
              <w:rPr>
                <w:noProof/>
                <w:webHidden/>
              </w:rPr>
              <w:fldChar w:fldCharType="separate"/>
            </w:r>
            <w:r w:rsidR="0065290A">
              <w:rPr>
                <w:noProof/>
                <w:webHidden/>
              </w:rPr>
              <w:t>20</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499" w:history="1">
            <w:r w:rsidR="0065290A" w:rsidRPr="003C1600">
              <w:rPr>
                <w:rStyle w:val="Hipervnculo"/>
                <w:noProof/>
                <w:lang w:val="es-419"/>
              </w:rPr>
              <w:t>Anexo 14.2 – Revelaciones Adicionales</w:t>
            </w:r>
            <w:r w:rsidR="0065290A">
              <w:rPr>
                <w:noProof/>
                <w:webHidden/>
              </w:rPr>
              <w:tab/>
            </w:r>
            <w:r w:rsidR="0065290A">
              <w:rPr>
                <w:noProof/>
                <w:webHidden/>
              </w:rPr>
              <w:fldChar w:fldCharType="begin"/>
            </w:r>
            <w:r w:rsidR="0065290A">
              <w:rPr>
                <w:noProof/>
                <w:webHidden/>
              </w:rPr>
              <w:instrText xml:space="preserve"> PAGEREF _Toc30823499 \h </w:instrText>
            </w:r>
            <w:r w:rsidR="0065290A">
              <w:rPr>
                <w:noProof/>
                <w:webHidden/>
              </w:rPr>
            </w:r>
            <w:r w:rsidR="0065290A">
              <w:rPr>
                <w:noProof/>
                <w:webHidden/>
              </w:rPr>
              <w:fldChar w:fldCharType="separate"/>
            </w:r>
            <w:r w:rsidR="0065290A">
              <w:rPr>
                <w:noProof/>
                <w:webHidden/>
              </w:rPr>
              <w:t>20</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00" w:history="1">
            <w:r w:rsidR="0065290A" w:rsidRPr="003C1600">
              <w:rPr>
                <w:rStyle w:val="Hipervnculo"/>
                <w:noProof/>
              </w:rPr>
              <w:t>NOTA 17. ARRENDAMIENTOS</w:t>
            </w:r>
            <w:r w:rsidR="0065290A">
              <w:rPr>
                <w:noProof/>
                <w:webHidden/>
              </w:rPr>
              <w:tab/>
            </w:r>
            <w:r w:rsidR="0065290A">
              <w:rPr>
                <w:noProof/>
                <w:webHidden/>
              </w:rPr>
              <w:fldChar w:fldCharType="begin"/>
            </w:r>
            <w:r w:rsidR="0065290A">
              <w:rPr>
                <w:noProof/>
                <w:webHidden/>
              </w:rPr>
              <w:instrText xml:space="preserve"> PAGEREF _Toc30823500 \h </w:instrText>
            </w:r>
            <w:r w:rsidR="0065290A">
              <w:rPr>
                <w:noProof/>
                <w:webHidden/>
              </w:rPr>
            </w:r>
            <w:r w:rsidR="0065290A">
              <w:rPr>
                <w:noProof/>
                <w:webHidden/>
              </w:rPr>
              <w:fldChar w:fldCharType="separate"/>
            </w:r>
            <w:r w:rsidR="0065290A">
              <w:rPr>
                <w:noProof/>
                <w:webHidden/>
              </w:rPr>
              <w:t>20</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01" w:history="1">
            <w:r w:rsidR="0065290A" w:rsidRPr="003C1600">
              <w:rPr>
                <w:rStyle w:val="Hipervnculo"/>
                <w:noProof/>
              </w:rPr>
              <w:t>NOTA 21. CUENTAS POR PAGAR</w:t>
            </w:r>
            <w:r w:rsidR="0065290A">
              <w:rPr>
                <w:noProof/>
                <w:webHidden/>
              </w:rPr>
              <w:tab/>
            </w:r>
            <w:r w:rsidR="0065290A">
              <w:rPr>
                <w:noProof/>
                <w:webHidden/>
              </w:rPr>
              <w:fldChar w:fldCharType="begin"/>
            </w:r>
            <w:r w:rsidR="0065290A">
              <w:rPr>
                <w:noProof/>
                <w:webHidden/>
              </w:rPr>
              <w:instrText xml:space="preserve"> PAGEREF _Toc30823501 \h </w:instrText>
            </w:r>
            <w:r w:rsidR="0065290A">
              <w:rPr>
                <w:noProof/>
                <w:webHidden/>
              </w:rPr>
            </w:r>
            <w:r w:rsidR="0065290A">
              <w:rPr>
                <w:noProof/>
                <w:webHidden/>
              </w:rPr>
              <w:fldChar w:fldCharType="separate"/>
            </w:r>
            <w:r w:rsidR="0065290A">
              <w:rPr>
                <w:noProof/>
                <w:webHidden/>
              </w:rPr>
              <w:t>21</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02"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_Toc30823502 \h </w:instrText>
            </w:r>
            <w:r w:rsidR="0065290A">
              <w:rPr>
                <w:noProof/>
                <w:webHidden/>
              </w:rPr>
            </w:r>
            <w:r w:rsidR="0065290A">
              <w:rPr>
                <w:noProof/>
                <w:webHidden/>
              </w:rPr>
              <w:fldChar w:fldCharType="separate"/>
            </w:r>
            <w:r w:rsidR="0065290A">
              <w:rPr>
                <w:noProof/>
                <w:webHidden/>
              </w:rPr>
              <w:t>21</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03" w:history="1">
            <w:r w:rsidR="0065290A" w:rsidRPr="003C1600">
              <w:rPr>
                <w:rStyle w:val="Hipervnculo"/>
                <w:noProof/>
              </w:rPr>
              <w:t>21.1.</w:t>
            </w:r>
            <w:r w:rsidR="0065290A">
              <w:rPr>
                <w:rFonts w:cstheme="minorBidi"/>
                <w:noProof/>
              </w:rPr>
              <w:tab/>
            </w:r>
            <w:r w:rsidR="0065290A" w:rsidRPr="003C1600">
              <w:rPr>
                <w:rStyle w:val="Hipervnculo"/>
                <w:noProof/>
              </w:rPr>
              <w:t>Revelaciones generales</w:t>
            </w:r>
            <w:r w:rsidR="0065290A">
              <w:rPr>
                <w:noProof/>
                <w:webHidden/>
              </w:rPr>
              <w:tab/>
            </w:r>
            <w:r w:rsidR="0065290A">
              <w:rPr>
                <w:noProof/>
                <w:webHidden/>
              </w:rPr>
              <w:fldChar w:fldCharType="begin"/>
            </w:r>
            <w:r w:rsidR="0065290A">
              <w:rPr>
                <w:noProof/>
                <w:webHidden/>
              </w:rPr>
              <w:instrText xml:space="preserve"> PAGEREF _Toc30823503 \h </w:instrText>
            </w:r>
            <w:r w:rsidR="0065290A">
              <w:rPr>
                <w:noProof/>
                <w:webHidden/>
              </w:rPr>
            </w:r>
            <w:r w:rsidR="0065290A">
              <w:rPr>
                <w:noProof/>
                <w:webHidden/>
              </w:rPr>
              <w:fldChar w:fldCharType="separate"/>
            </w:r>
            <w:r w:rsidR="0065290A">
              <w:rPr>
                <w:noProof/>
                <w:webHidden/>
              </w:rPr>
              <w:t>21</w:t>
            </w:r>
            <w:r w:rsidR="0065290A">
              <w:rPr>
                <w:noProof/>
                <w:webHidden/>
              </w:rPr>
              <w:fldChar w:fldCharType="end"/>
            </w:r>
          </w:hyperlink>
        </w:p>
        <w:p w:rsidR="0065290A" w:rsidRDefault="00A67903" w:rsidP="0065290A">
          <w:pPr>
            <w:pStyle w:val="TDC3"/>
            <w:rPr>
              <w:rFonts w:cstheme="minorBidi"/>
              <w:noProof/>
            </w:rPr>
          </w:pPr>
          <w:hyperlink w:anchor="_Toc30823504" w:history="1">
            <w:r w:rsidR="0065290A" w:rsidRPr="003C1600">
              <w:rPr>
                <w:rStyle w:val="Hipervnculo"/>
                <w:noProof/>
                <w:lang w:val="es-419"/>
              </w:rPr>
              <w:t>21.1.1. Adquisición de Bienes y Servicios Nacionales</w:t>
            </w:r>
            <w:r w:rsidR="0065290A">
              <w:rPr>
                <w:noProof/>
                <w:webHidden/>
              </w:rPr>
              <w:tab/>
            </w:r>
            <w:r w:rsidR="0065290A">
              <w:rPr>
                <w:noProof/>
                <w:webHidden/>
              </w:rPr>
              <w:fldChar w:fldCharType="begin"/>
            </w:r>
            <w:r w:rsidR="0065290A">
              <w:rPr>
                <w:noProof/>
                <w:webHidden/>
              </w:rPr>
              <w:instrText xml:space="preserve"> PAGEREF _Toc30823504 \h </w:instrText>
            </w:r>
            <w:r w:rsidR="0065290A">
              <w:rPr>
                <w:noProof/>
                <w:webHidden/>
              </w:rPr>
            </w:r>
            <w:r w:rsidR="0065290A">
              <w:rPr>
                <w:noProof/>
                <w:webHidden/>
              </w:rPr>
              <w:fldChar w:fldCharType="separate"/>
            </w:r>
            <w:r w:rsidR="0065290A">
              <w:rPr>
                <w:noProof/>
                <w:webHidden/>
              </w:rPr>
              <w:t>22</w:t>
            </w:r>
            <w:r w:rsidR="0065290A">
              <w:rPr>
                <w:noProof/>
                <w:webHidden/>
              </w:rPr>
              <w:fldChar w:fldCharType="end"/>
            </w:r>
          </w:hyperlink>
        </w:p>
        <w:p w:rsidR="0065290A" w:rsidRDefault="00A67903" w:rsidP="0065290A">
          <w:pPr>
            <w:pStyle w:val="TDC3"/>
            <w:rPr>
              <w:rFonts w:cstheme="minorBidi"/>
              <w:noProof/>
            </w:rPr>
          </w:pPr>
          <w:hyperlink w:anchor="_Toc30823505" w:history="1">
            <w:r w:rsidR="0065290A" w:rsidRPr="003C1600">
              <w:rPr>
                <w:rStyle w:val="Hipervnculo"/>
                <w:noProof/>
                <w:lang w:val="es-419"/>
              </w:rPr>
              <w:t>Anexo 21.1.1</w:t>
            </w:r>
            <w:r w:rsidR="0065290A">
              <w:rPr>
                <w:noProof/>
                <w:webHidden/>
              </w:rPr>
              <w:tab/>
            </w:r>
            <w:r w:rsidR="0065290A">
              <w:rPr>
                <w:noProof/>
                <w:webHidden/>
              </w:rPr>
              <w:fldChar w:fldCharType="begin"/>
            </w:r>
            <w:r w:rsidR="0065290A">
              <w:rPr>
                <w:noProof/>
                <w:webHidden/>
              </w:rPr>
              <w:instrText xml:space="preserve"> PAGEREF _Toc30823505 \h </w:instrText>
            </w:r>
            <w:r w:rsidR="0065290A">
              <w:rPr>
                <w:noProof/>
                <w:webHidden/>
              </w:rPr>
            </w:r>
            <w:r w:rsidR="0065290A">
              <w:rPr>
                <w:noProof/>
                <w:webHidden/>
              </w:rPr>
              <w:fldChar w:fldCharType="separate"/>
            </w:r>
            <w:r w:rsidR="0065290A">
              <w:rPr>
                <w:noProof/>
                <w:webHidden/>
              </w:rPr>
              <w:t>22</w:t>
            </w:r>
            <w:r w:rsidR="0065290A">
              <w:rPr>
                <w:noProof/>
                <w:webHidden/>
              </w:rPr>
              <w:fldChar w:fldCharType="end"/>
            </w:r>
          </w:hyperlink>
        </w:p>
        <w:p w:rsidR="0065290A" w:rsidRDefault="00A67903" w:rsidP="0065290A">
          <w:pPr>
            <w:pStyle w:val="TDC3"/>
            <w:rPr>
              <w:rFonts w:cstheme="minorBidi"/>
              <w:noProof/>
            </w:rPr>
          </w:pPr>
          <w:hyperlink w:anchor="_Toc30823506" w:history="1">
            <w:r w:rsidR="0065290A" w:rsidRPr="003C1600">
              <w:rPr>
                <w:rStyle w:val="Hipervnculo"/>
                <w:noProof/>
                <w:lang w:val="es-419"/>
              </w:rPr>
              <w:t>21.1.2.  Recursos a favor de terceros</w:t>
            </w:r>
            <w:r w:rsidR="0065290A">
              <w:rPr>
                <w:noProof/>
                <w:webHidden/>
              </w:rPr>
              <w:tab/>
            </w:r>
            <w:r w:rsidR="0065290A">
              <w:rPr>
                <w:noProof/>
                <w:webHidden/>
              </w:rPr>
              <w:fldChar w:fldCharType="begin"/>
            </w:r>
            <w:r w:rsidR="0065290A">
              <w:rPr>
                <w:noProof/>
                <w:webHidden/>
              </w:rPr>
              <w:instrText xml:space="preserve"> PAGEREF _Toc30823506 \h </w:instrText>
            </w:r>
            <w:r w:rsidR="0065290A">
              <w:rPr>
                <w:noProof/>
                <w:webHidden/>
              </w:rPr>
            </w:r>
            <w:r w:rsidR="0065290A">
              <w:rPr>
                <w:noProof/>
                <w:webHidden/>
              </w:rPr>
              <w:fldChar w:fldCharType="separate"/>
            </w:r>
            <w:r w:rsidR="0065290A">
              <w:rPr>
                <w:noProof/>
                <w:webHidden/>
              </w:rPr>
              <w:t>22</w:t>
            </w:r>
            <w:r w:rsidR="0065290A">
              <w:rPr>
                <w:noProof/>
                <w:webHidden/>
              </w:rPr>
              <w:fldChar w:fldCharType="end"/>
            </w:r>
          </w:hyperlink>
        </w:p>
        <w:p w:rsidR="0065290A" w:rsidRDefault="00A67903" w:rsidP="0065290A">
          <w:pPr>
            <w:pStyle w:val="TDC3"/>
            <w:rPr>
              <w:rFonts w:cstheme="minorBidi"/>
              <w:noProof/>
            </w:rPr>
          </w:pPr>
          <w:hyperlink w:anchor="_Toc30823507" w:history="1">
            <w:r w:rsidR="0065290A" w:rsidRPr="003C1600">
              <w:rPr>
                <w:rStyle w:val="Hipervnculo"/>
                <w:noProof/>
                <w:lang w:val="es-419"/>
              </w:rPr>
              <w:t>Anexo 21.1.2.</w:t>
            </w:r>
            <w:r w:rsidR="0065290A">
              <w:rPr>
                <w:noProof/>
                <w:webHidden/>
              </w:rPr>
              <w:tab/>
            </w:r>
            <w:r w:rsidR="0065290A">
              <w:rPr>
                <w:noProof/>
                <w:webHidden/>
              </w:rPr>
              <w:fldChar w:fldCharType="begin"/>
            </w:r>
            <w:r w:rsidR="0065290A">
              <w:rPr>
                <w:noProof/>
                <w:webHidden/>
              </w:rPr>
              <w:instrText xml:space="preserve"> PAGEREF _Toc30823507 \h </w:instrText>
            </w:r>
            <w:r w:rsidR="0065290A">
              <w:rPr>
                <w:noProof/>
                <w:webHidden/>
              </w:rPr>
            </w:r>
            <w:r w:rsidR="0065290A">
              <w:rPr>
                <w:noProof/>
                <w:webHidden/>
              </w:rPr>
              <w:fldChar w:fldCharType="separate"/>
            </w:r>
            <w:r w:rsidR="0065290A">
              <w:rPr>
                <w:noProof/>
                <w:webHidden/>
              </w:rPr>
              <w:t>22</w:t>
            </w:r>
            <w:r w:rsidR="0065290A">
              <w:rPr>
                <w:noProof/>
                <w:webHidden/>
              </w:rPr>
              <w:fldChar w:fldCharType="end"/>
            </w:r>
          </w:hyperlink>
        </w:p>
        <w:p w:rsidR="0065290A" w:rsidRDefault="00A67903" w:rsidP="0065290A">
          <w:pPr>
            <w:pStyle w:val="TDC3"/>
            <w:rPr>
              <w:rFonts w:cstheme="minorBidi"/>
              <w:noProof/>
            </w:rPr>
          </w:pPr>
          <w:hyperlink w:anchor="_Toc30823508" w:history="1">
            <w:r w:rsidR="0065290A" w:rsidRPr="003C1600">
              <w:rPr>
                <w:rStyle w:val="Hipervnculo"/>
                <w:noProof/>
                <w:lang w:val="es-419"/>
              </w:rPr>
              <w:t>21.1.3. Descuentos de nómina</w:t>
            </w:r>
            <w:r w:rsidR="0065290A">
              <w:rPr>
                <w:noProof/>
                <w:webHidden/>
              </w:rPr>
              <w:tab/>
            </w:r>
            <w:r w:rsidR="0065290A">
              <w:rPr>
                <w:noProof/>
                <w:webHidden/>
              </w:rPr>
              <w:fldChar w:fldCharType="begin"/>
            </w:r>
            <w:r w:rsidR="0065290A">
              <w:rPr>
                <w:noProof/>
                <w:webHidden/>
              </w:rPr>
              <w:instrText xml:space="preserve"> PAGEREF _Toc30823508 \h </w:instrText>
            </w:r>
            <w:r w:rsidR="0065290A">
              <w:rPr>
                <w:noProof/>
                <w:webHidden/>
              </w:rPr>
            </w:r>
            <w:r w:rsidR="0065290A">
              <w:rPr>
                <w:noProof/>
                <w:webHidden/>
              </w:rPr>
              <w:fldChar w:fldCharType="separate"/>
            </w:r>
            <w:r w:rsidR="0065290A">
              <w:rPr>
                <w:noProof/>
                <w:webHidden/>
              </w:rPr>
              <w:t>22</w:t>
            </w:r>
            <w:r w:rsidR="0065290A">
              <w:rPr>
                <w:noProof/>
                <w:webHidden/>
              </w:rPr>
              <w:fldChar w:fldCharType="end"/>
            </w:r>
          </w:hyperlink>
        </w:p>
        <w:p w:rsidR="0065290A" w:rsidRDefault="00A67903" w:rsidP="0065290A">
          <w:pPr>
            <w:pStyle w:val="TDC3"/>
            <w:rPr>
              <w:rFonts w:cstheme="minorBidi"/>
              <w:noProof/>
            </w:rPr>
          </w:pPr>
          <w:hyperlink w:anchor="_Toc30823509" w:history="1">
            <w:r w:rsidR="0065290A" w:rsidRPr="003C1600">
              <w:rPr>
                <w:rStyle w:val="Hipervnculo"/>
                <w:noProof/>
                <w:lang w:val="es-419"/>
              </w:rPr>
              <w:t>Anexo 21.1.3.</w:t>
            </w:r>
            <w:r w:rsidR="0065290A">
              <w:rPr>
                <w:noProof/>
                <w:webHidden/>
              </w:rPr>
              <w:tab/>
            </w:r>
            <w:r w:rsidR="0065290A">
              <w:rPr>
                <w:noProof/>
                <w:webHidden/>
              </w:rPr>
              <w:fldChar w:fldCharType="begin"/>
            </w:r>
            <w:r w:rsidR="0065290A">
              <w:rPr>
                <w:noProof/>
                <w:webHidden/>
              </w:rPr>
              <w:instrText xml:space="preserve"> PAGEREF _Toc30823509 \h </w:instrText>
            </w:r>
            <w:r w:rsidR="0065290A">
              <w:rPr>
                <w:noProof/>
                <w:webHidden/>
              </w:rPr>
            </w:r>
            <w:r w:rsidR="0065290A">
              <w:rPr>
                <w:noProof/>
                <w:webHidden/>
              </w:rPr>
              <w:fldChar w:fldCharType="separate"/>
            </w:r>
            <w:r w:rsidR="0065290A">
              <w:rPr>
                <w:noProof/>
                <w:webHidden/>
              </w:rPr>
              <w:t>23</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10" w:history="1">
            <w:r w:rsidR="0065290A" w:rsidRPr="003C1600">
              <w:rPr>
                <w:rStyle w:val="Hipervnculo"/>
                <w:noProof/>
                <w:lang w:val="es-419"/>
              </w:rPr>
              <w:t xml:space="preserve">21.1.4. </w:t>
            </w:r>
            <w:r w:rsidR="0065290A" w:rsidRPr="003C1600">
              <w:rPr>
                <w:rStyle w:val="Hipervnculo"/>
                <w:rFonts w:eastAsia="Times New Roman"/>
                <w:noProof/>
                <w:lang w:val="es-419"/>
              </w:rPr>
              <w:t>Retención en la fuente e impuesto de timbre</w:t>
            </w:r>
            <w:r w:rsidR="0065290A">
              <w:rPr>
                <w:noProof/>
                <w:webHidden/>
              </w:rPr>
              <w:tab/>
            </w:r>
            <w:r w:rsidR="0065290A">
              <w:rPr>
                <w:noProof/>
                <w:webHidden/>
              </w:rPr>
              <w:fldChar w:fldCharType="begin"/>
            </w:r>
            <w:r w:rsidR="0065290A">
              <w:rPr>
                <w:noProof/>
                <w:webHidden/>
              </w:rPr>
              <w:instrText xml:space="preserve"> PAGEREF _Toc30823510 \h </w:instrText>
            </w:r>
            <w:r w:rsidR="0065290A">
              <w:rPr>
                <w:noProof/>
                <w:webHidden/>
              </w:rPr>
            </w:r>
            <w:r w:rsidR="0065290A">
              <w:rPr>
                <w:noProof/>
                <w:webHidden/>
              </w:rPr>
              <w:fldChar w:fldCharType="separate"/>
            </w:r>
            <w:r w:rsidR="0065290A">
              <w:rPr>
                <w:noProof/>
                <w:webHidden/>
              </w:rPr>
              <w:t>23</w:t>
            </w:r>
            <w:r w:rsidR="0065290A">
              <w:rPr>
                <w:noProof/>
                <w:webHidden/>
              </w:rPr>
              <w:fldChar w:fldCharType="end"/>
            </w:r>
          </w:hyperlink>
        </w:p>
        <w:p w:rsidR="0065290A" w:rsidRDefault="00A67903" w:rsidP="0065290A">
          <w:pPr>
            <w:pStyle w:val="TDC3"/>
            <w:rPr>
              <w:rFonts w:cstheme="minorBidi"/>
              <w:noProof/>
            </w:rPr>
          </w:pPr>
          <w:hyperlink w:anchor="_Toc30823511" w:history="1">
            <w:r w:rsidR="0065290A" w:rsidRPr="003C1600">
              <w:rPr>
                <w:rStyle w:val="Hipervnculo"/>
                <w:noProof/>
                <w:lang w:val="es-419"/>
              </w:rPr>
              <w:t>Anexo 21.1.4.</w:t>
            </w:r>
            <w:r w:rsidR="0065290A">
              <w:rPr>
                <w:noProof/>
                <w:webHidden/>
              </w:rPr>
              <w:tab/>
            </w:r>
            <w:r w:rsidR="0065290A">
              <w:rPr>
                <w:noProof/>
                <w:webHidden/>
              </w:rPr>
              <w:fldChar w:fldCharType="begin"/>
            </w:r>
            <w:r w:rsidR="0065290A">
              <w:rPr>
                <w:noProof/>
                <w:webHidden/>
              </w:rPr>
              <w:instrText xml:space="preserve"> PAGEREF _Toc30823511 \h </w:instrText>
            </w:r>
            <w:r w:rsidR="0065290A">
              <w:rPr>
                <w:noProof/>
                <w:webHidden/>
              </w:rPr>
            </w:r>
            <w:r w:rsidR="0065290A">
              <w:rPr>
                <w:noProof/>
                <w:webHidden/>
              </w:rPr>
              <w:fldChar w:fldCharType="separate"/>
            </w:r>
            <w:r w:rsidR="0065290A">
              <w:rPr>
                <w:noProof/>
                <w:webHidden/>
              </w:rPr>
              <w:t>23</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12" w:history="1">
            <w:r w:rsidR="0065290A" w:rsidRPr="003C1600">
              <w:rPr>
                <w:rStyle w:val="Hipervnculo"/>
                <w:noProof/>
                <w:lang w:val="es-419"/>
              </w:rPr>
              <w:t>21.1.5. Impuesto al valor agregado</w:t>
            </w:r>
            <w:r w:rsidR="0065290A">
              <w:rPr>
                <w:noProof/>
                <w:webHidden/>
              </w:rPr>
              <w:tab/>
            </w:r>
            <w:r w:rsidR="0065290A">
              <w:rPr>
                <w:noProof/>
                <w:webHidden/>
              </w:rPr>
              <w:fldChar w:fldCharType="begin"/>
            </w:r>
            <w:r w:rsidR="0065290A">
              <w:rPr>
                <w:noProof/>
                <w:webHidden/>
              </w:rPr>
              <w:instrText xml:space="preserve"> PAGEREF _Toc30823512 \h </w:instrText>
            </w:r>
            <w:r w:rsidR="0065290A">
              <w:rPr>
                <w:noProof/>
                <w:webHidden/>
              </w:rPr>
            </w:r>
            <w:r w:rsidR="0065290A">
              <w:rPr>
                <w:noProof/>
                <w:webHidden/>
              </w:rPr>
              <w:fldChar w:fldCharType="separate"/>
            </w:r>
            <w:r w:rsidR="0065290A">
              <w:rPr>
                <w:noProof/>
                <w:webHidden/>
              </w:rPr>
              <w:t>23</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13" w:history="1">
            <w:r w:rsidR="0065290A" w:rsidRPr="003C1600">
              <w:rPr>
                <w:rStyle w:val="Hipervnculo"/>
                <w:rFonts w:eastAsia="Times New Roman"/>
                <w:noProof/>
                <w:lang w:val="es-419"/>
              </w:rPr>
              <w:t>21.1.6. Créditos judiciales</w:t>
            </w:r>
            <w:r w:rsidR="0065290A">
              <w:rPr>
                <w:noProof/>
                <w:webHidden/>
              </w:rPr>
              <w:tab/>
            </w:r>
            <w:r w:rsidR="0065290A">
              <w:rPr>
                <w:noProof/>
                <w:webHidden/>
              </w:rPr>
              <w:fldChar w:fldCharType="begin"/>
            </w:r>
            <w:r w:rsidR="0065290A">
              <w:rPr>
                <w:noProof/>
                <w:webHidden/>
              </w:rPr>
              <w:instrText xml:space="preserve"> PAGEREF _Toc30823513 \h </w:instrText>
            </w:r>
            <w:r w:rsidR="0065290A">
              <w:rPr>
                <w:noProof/>
                <w:webHidden/>
              </w:rPr>
            </w:r>
            <w:r w:rsidR="0065290A">
              <w:rPr>
                <w:noProof/>
                <w:webHidden/>
              </w:rPr>
              <w:fldChar w:fldCharType="separate"/>
            </w:r>
            <w:r w:rsidR="0065290A">
              <w:rPr>
                <w:noProof/>
                <w:webHidden/>
              </w:rPr>
              <w:t>24</w:t>
            </w:r>
            <w:r w:rsidR="0065290A">
              <w:rPr>
                <w:noProof/>
                <w:webHidden/>
              </w:rPr>
              <w:fldChar w:fldCharType="end"/>
            </w:r>
          </w:hyperlink>
        </w:p>
        <w:p w:rsidR="0065290A" w:rsidRDefault="00A67903" w:rsidP="0065290A">
          <w:pPr>
            <w:pStyle w:val="TDC3"/>
            <w:rPr>
              <w:rFonts w:cstheme="minorBidi"/>
              <w:noProof/>
            </w:rPr>
          </w:pPr>
          <w:hyperlink w:anchor="_Toc30823514" w:history="1">
            <w:r w:rsidR="0065290A" w:rsidRPr="003C1600">
              <w:rPr>
                <w:rStyle w:val="Hipervnculo"/>
                <w:noProof/>
                <w:lang w:val="es-419"/>
              </w:rPr>
              <w:t>Anexo 21.1.6.</w:t>
            </w:r>
            <w:r w:rsidR="0065290A">
              <w:rPr>
                <w:noProof/>
                <w:webHidden/>
              </w:rPr>
              <w:tab/>
            </w:r>
            <w:r w:rsidR="0065290A">
              <w:rPr>
                <w:noProof/>
                <w:webHidden/>
              </w:rPr>
              <w:fldChar w:fldCharType="begin"/>
            </w:r>
            <w:r w:rsidR="0065290A">
              <w:rPr>
                <w:noProof/>
                <w:webHidden/>
              </w:rPr>
              <w:instrText xml:space="preserve"> PAGEREF _Toc30823514 \h </w:instrText>
            </w:r>
            <w:r w:rsidR="0065290A">
              <w:rPr>
                <w:noProof/>
                <w:webHidden/>
              </w:rPr>
            </w:r>
            <w:r w:rsidR="0065290A">
              <w:rPr>
                <w:noProof/>
                <w:webHidden/>
              </w:rPr>
              <w:fldChar w:fldCharType="separate"/>
            </w:r>
            <w:r w:rsidR="0065290A">
              <w:rPr>
                <w:noProof/>
                <w:webHidden/>
              </w:rPr>
              <w:t>24</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15" w:history="1">
            <w:r w:rsidR="0065290A" w:rsidRPr="003C1600">
              <w:rPr>
                <w:rStyle w:val="Hipervnculo"/>
                <w:rFonts w:eastAsia="Times New Roman"/>
                <w:noProof/>
                <w:lang w:val="es-419"/>
              </w:rPr>
              <w:t>21.1.7.</w:t>
            </w:r>
            <w:r w:rsidR="0065290A">
              <w:rPr>
                <w:rFonts w:cstheme="minorBidi"/>
                <w:noProof/>
              </w:rPr>
              <w:tab/>
            </w:r>
            <w:r w:rsidR="0065290A" w:rsidRPr="003C1600">
              <w:rPr>
                <w:rStyle w:val="Hipervnculo"/>
                <w:rFonts w:eastAsia="Times New Roman"/>
                <w:noProof/>
                <w:lang w:val="es-419"/>
              </w:rPr>
              <w:t>Otras cuentas por pagar</w:t>
            </w:r>
            <w:r w:rsidR="0065290A">
              <w:rPr>
                <w:noProof/>
                <w:webHidden/>
              </w:rPr>
              <w:tab/>
            </w:r>
            <w:r w:rsidR="0065290A">
              <w:rPr>
                <w:noProof/>
                <w:webHidden/>
              </w:rPr>
              <w:fldChar w:fldCharType="begin"/>
            </w:r>
            <w:r w:rsidR="0065290A">
              <w:rPr>
                <w:noProof/>
                <w:webHidden/>
              </w:rPr>
              <w:instrText xml:space="preserve"> PAGEREF _Toc30823515 \h </w:instrText>
            </w:r>
            <w:r w:rsidR="0065290A">
              <w:rPr>
                <w:noProof/>
                <w:webHidden/>
              </w:rPr>
            </w:r>
            <w:r w:rsidR="0065290A">
              <w:rPr>
                <w:noProof/>
                <w:webHidden/>
              </w:rPr>
              <w:fldChar w:fldCharType="separate"/>
            </w:r>
            <w:r w:rsidR="0065290A">
              <w:rPr>
                <w:noProof/>
                <w:webHidden/>
              </w:rPr>
              <w:t>24</w:t>
            </w:r>
            <w:r w:rsidR="0065290A">
              <w:rPr>
                <w:noProof/>
                <w:webHidden/>
              </w:rPr>
              <w:fldChar w:fldCharType="end"/>
            </w:r>
          </w:hyperlink>
        </w:p>
        <w:p w:rsidR="0065290A" w:rsidRDefault="00A67903" w:rsidP="0065290A">
          <w:pPr>
            <w:pStyle w:val="TDC3"/>
            <w:rPr>
              <w:rFonts w:cstheme="minorBidi"/>
              <w:noProof/>
            </w:rPr>
          </w:pPr>
          <w:hyperlink w:anchor="_Toc30823516" w:history="1">
            <w:r w:rsidR="0065290A" w:rsidRPr="003C1600">
              <w:rPr>
                <w:rStyle w:val="Hipervnculo"/>
                <w:noProof/>
                <w:lang w:val="es-419"/>
              </w:rPr>
              <w:t>Anexo 21.1.7.</w:t>
            </w:r>
            <w:r w:rsidR="0065290A">
              <w:rPr>
                <w:noProof/>
                <w:webHidden/>
              </w:rPr>
              <w:tab/>
            </w:r>
            <w:r w:rsidR="0065290A">
              <w:rPr>
                <w:noProof/>
                <w:webHidden/>
              </w:rPr>
              <w:fldChar w:fldCharType="begin"/>
            </w:r>
            <w:r w:rsidR="0065290A">
              <w:rPr>
                <w:noProof/>
                <w:webHidden/>
              </w:rPr>
              <w:instrText xml:space="preserve"> PAGEREF _Toc30823516 \h </w:instrText>
            </w:r>
            <w:r w:rsidR="0065290A">
              <w:rPr>
                <w:noProof/>
                <w:webHidden/>
              </w:rPr>
            </w:r>
            <w:r w:rsidR="0065290A">
              <w:rPr>
                <w:noProof/>
                <w:webHidden/>
              </w:rPr>
              <w:fldChar w:fldCharType="separate"/>
            </w:r>
            <w:r w:rsidR="0065290A">
              <w:rPr>
                <w:noProof/>
                <w:webHidden/>
              </w:rPr>
              <w:t>24</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17" w:history="1">
            <w:r w:rsidR="0065290A" w:rsidRPr="003C1600">
              <w:rPr>
                <w:rStyle w:val="Hipervnculo"/>
                <w:noProof/>
                <w:lang w:val="es-419"/>
              </w:rPr>
              <w:t>NOTA 22. BENEFICIOS A LOS EMPLEADOS</w:t>
            </w:r>
            <w:r w:rsidR="0065290A">
              <w:rPr>
                <w:noProof/>
                <w:webHidden/>
              </w:rPr>
              <w:tab/>
            </w:r>
            <w:r w:rsidR="0065290A">
              <w:rPr>
                <w:noProof/>
                <w:webHidden/>
              </w:rPr>
              <w:fldChar w:fldCharType="begin"/>
            </w:r>
            <w:r w:rsidR="0065290A">
              <w:rPr>
                <w:noProof/>
                <w:webHidden/>
              </w:rPr>
              <w:instrText xml:space="preserve"> PAGEREF _Toc30823517 \h </w:instrText>
            </w:r>
            <w:r w:rsidR="0065290A">
              <w:rPr>
                <w:noProof/>
                <w:webHidden/>
              </w:rPr>
            </w:r>
            <w:r w:rsidR="0065290A">
              <w:rPr>
                <w:noProof/>
                <w:webHidden/>
              </w:rPr>
              <w:fldChar w:fldCharType="separate"/>
            </w:r>
            <w:r w:rsidR="0065290A">
              <w:rPr>
                <w:noProof/>
                <w:webHidden/>
              </w:rPr>
              <w:t>25</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18" w:history="1">
            <w:r w:rsidR="0065290A" w:rsidRPr="003C1600">
              <w:rPr>
                <w:rStyle w:val="Hipervnculo"/>
                <w:rFonts w:eastAsia="Times New Roman"/>
                <w:noProof/>
                <w:lang w:val="es-419"/>
              </w:rPr>
              <w:t>22.1. Beneficios a los empleados a corto plazo</w:t>
            </w:r>
            <w:r w:rsidR="0065290A">
              <w:rPr>
                <w:noProof/>
                <w:webHidden/>
              </w:rPr>
              <w:tab/>
            </w:r>
            <w:r w:rsidR="0065290A">
              <w:rPr>
                <w:noProof/>
                <w:webHidden/>
              </w:rPr>
              <w:fldChar w:fldCharType="begin"/>
            </w:r>
            <w:r w:rsidR="0065290A">
              <w:rPr>
                <w:noProof/>
                <w:webHidden/>
              </w:rPr>
              <w:instrText xml:space="preserve"> PAGEREF _Toc30823518 \h </w:instrText>
            </w:r>
            <w:r w:rsidR="0065290A">
              <w:rPr>
                <w:noProof/>
                <w:webHidden/>
              </w:rPr>
            </w:r>
            <w:r w:rsidR="0065290A">
              <w:rPr>
                <w:noProof/>
                <w:webHidden/>
              </w:rPr>
              <w:fldChar w:fldCharType="separate"/>
            </w:r>
            <w:r w:rsidR="0065290A">
              <w:rPr>
                <w:noProof/>
                <w:webHidden/>
              </w:rPr>
              <w:t>25</w:t>
            </w:r>
            <w:r w:rsidR="0065290A">
              <w:rPr>
                <w:noProof/>
                <w:webHidden/>
              </w:rPr>
              <w:fldChar w:fldCharType="end"/>
            </w:r>
          </w:hyperlink>
        </w:p>
        <w:p w:rsidR="0065290A" w:rsidRDefault="00A67903" w:rsidP="0065290A">
          <w:pPr>
            <w:pStyle w:val="TDC3"/>
            <w:rPr>
              <w:rFonts w:cstheme="minorBidi"/>
              <w:noProof/>
            </w:rPr>
          </w:pPr>
          <w:hyperlink w:anchor="_Toc30823519" w:history="1">
            <w:r w:rsidR="0065290A" w:rsidRPr="003C1600">
              <w:rPr>
                <w:rStyle w:val="Hipervnculo"/>
                <w:rFonts w:eastAsia="Times New Roman"/>
                <w:noProof/>
                <w:lang w:val="es-419"/>
              </w:rPr>
              <w:t>Anexo 22.1</w:t>
            </w:r>
            <w:r w:rsidR="0065290A">
              <w:rPr>
                <w:noProof/>
                <w:webHidden/>
              </w:rPr>
              <w:tab/>
            </w:r>
            <w:r w:rsidR="0065290A">
              <w:rPr>
                <w:noProof/>
                <w:webHidden/>
              </w:rPr>
              <w:fldChar w:fldCharType="begin"/>
            </w:r>
            <w:r w:rsidR="0065290A">
              <w:rPr>
                <w:noProof/>
                <w:webHidden/>
              </w:rPr>
              <w:instrText xml:space="preserve"> PAGEREF _Toc30823519 \h </w:instrText>
            </w:r>
            <w:r w:rsidR="0065290A">
              <w:rPr>
                <w:noProof/>
                <w:webHidden/>
              </w:rPr>
            </w:r>
            <w:r w:rsidR="0065290A">
              <w:rPr>
                <w:noProof/>
                <w:webHidden/>
              </w:rPr>
              <w:fldChar w:fldCharType="separate"/>
            </w:r>
            <w:r w:rsidR="0065290A">
              <w:rPr>
                <w:noProof/>
                <w:webHidden/>
              </w:rPr>
              <w:t>26</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20" w:history="1">
            <w:r w:rsidR="0065290A" w:rsidRPr="003C1600">
              <w:rPr>
                <w:rStyle w:val="Hipervnculo"/>
                <w:noProof/>
                <w:lang w:val="es-419"/>
              </w:rPr>
              <w:t>22.2. Beneficios y plan de activos para beneficios a los empleados a largo plazo</w:t>
            </w:r>
            <w:r w:rsidR="0065290A">
              <w:rPr>
                <w:noProof/>
                <w:webHidden/>
              </w:rPr>
              <w:tab/>
            </w:r>
            <w:r w:rsidR="0065290A">
              <w:rPr>
                <w:noProof/>
                <w:webHidden/>
              </w:rPr>
              <w:fldChar w:fldCharType="begin"/>
            </w:r>
            <w:r w:rsidR="0065290A">
              <w:rPr>
                <w:noProof/>
                <w:webHidden/>
              </w:rPr>
              <w:instrText xml:space="preserve"> PAGEREF _Toc30823520 \h </w:instrText>
            </w:r>
            <w:r w:rsidR="0065290A">
              <w:rPr>
                <w:noProof/>
                <w:webHidden/>
              </w:rPr>
            </w:r>
            <w:r w:rsidR="0065290A">
              <w:rPr>
                <w:noProof/>
                <w:webHidden/>
              </w:rPr>
              <w:fldChar w:fldCharType="separate"/>
            </w:r>
            <w:r w:rsidR="0065290A">
              <w:rPr>
                <w:noProof/>
                <w:webHidden/>
              </w:rPr>
              <w:t>27</w:t>
            </w:r>
            <w:r w:rsidR="0065290A">
              <w:rPr>
                <w:noProof/>
                <w:webHidden/>
              </w:rPr>
              <w:fldChar w:fldCharType="end"/>
            </w:r>
          </w:hyperlink>
        </w:p>
        <w:p w:rsidR="0065290A" w:rsidRDefault="00A67903" w:rsidP="0065290A">
          <w:pPr>
            <w:pStyle w:val="TDC3"/>
            <w:rPr>
              <w:rFonts w:cstheme="minorBidi"/>
              <w:noProof/>
            </w:rPr>
          </w:pPr>
          <w:hyperlink w:anchor="_Toc30823521" w:history="1">
            <w:r w:rsidR="0065290A" w:rsidRPr="003C1600">
              <w:rPr>
                <w:rStyle w:val="Hipervnculo"/>
                <w:noProof/>
                <w:lang w:val="es-419"/>
              </w:rPr>
              <w:t>Anexo 22.2</w:t>
            </w:r>
            <w:r w:rsidR="0065290A">
              <w:rPr>
                <w:noProof/>
                <w:webHidden/>
              </w:rPr>
              <w:tab/>
            </w:r>
            <w:r w:rsidR="0065290A">
              <w:rPr>
                <w:noProof/>
                <w:webHidden/>
              </w:rPr>
              <w:fldChar w:fldCharType="begin"/>
            </w:r>
            <w:r w:rsidR="0065290A">
              <w:rPr>
                <w:noProof/>
                <w:webHidden/>
              </w:rPr>
              <w:instrText xml:space="preserve"> PAGEREF _Toc30823521 \h </w:instrText>
            </w:r>
            <w:r w:rsidR="0065290A">
              <w:rPr>
                <w:noProof/>
                <w:webHidden/>
              </w:rPr>
            </w:r>
            <w:r w:rsidR="0065290A">
              <w:rPr>
                <w:noProof/>
                <w:webHidden/>
              </w:rPr>
              <w:fldChar w:fldCharType="separate"/>
            </w:r>
            <w:r w:rsidR="0065290A">
              <w:rPr>
                <w:noProof/>
                <w:webHidden/>
              </w:rPr>
              <w:t>28</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22" w:history="1">
            <w:r w:rsidR="0065290A" w:rsidRPr="003C1600">
              <w:rPr>
                <w:rStyle w:val="Hipervnculo"/>
                <w:noProof/>
              </w:rPr>
              <w:t>NOTA 23. PROVISIONES</w:t>
            </w:r>
            <w:r w:rsidR="0065290A">
              <w:rPr>
                <w:noProof/>
                <w:webHidden/>
              </w:rPr>
              <w:tab/>
            </w:r>
            <w:r w:rsidR="0065290A">
              <w:rPr>
                <w:noProof/>
                <w:webHidden/>
              </w:rPr>
              <w:fldChar w:fldCharType="begin"/>
            </w:r>
            <w:r w:rsidR="0065290A">
              <w:rPr>
                <w:noProof/>
                <w:webHidden/>
              </w:rPr>
              <w:instrText xml:space="preserve"> PAGEREF _Toc30823522 \h </w:instrText>
            </w:r>
            <w:r w:rsidR="0065290A">
              <w:rPr>
                <w:noProof/>
                <w:webHidden/>
              </w:rPr>
            </w:r>
            <w:r w:rsidR="0065290A">
              <w:rPr>
                <w:noProof/>
                <w:webHidden/>
              </w:rPr>
              <w:fldChar w:fldCharType="separate"/>
            </w:r>
            <w:r w:rsidR="0065290A">
              <w:rPr>
                <w:noProof/>
                <w:webHidden/>
              </w:rPr>
              <w:t>30</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23"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_Toc30823523 \h </w:instrText>
            </w:r>
            <w:r w:rsidR="0065290A">
              <w:rPr>
                <w:noProof/>
                <w:webHidden/>
              </w:rPr>
            </w:r>
            <w:r w:rsidR="0065290A">
              <w:rPr>
                <w:noProof/>
                <w:webHidden/>
              </w:rPr>
              <w:fldChar w:fldCharType="separate"/>
            </w:r>
            <w:r w:rsidR="0065290A">
              <w:rPr>
                <w:noProof/>
                <w:webHidden/>
              </w:rPr>
              <w:t>30</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24" w:history="1">
            <w:r w:rsidR="0065290A" w:rsidRPr="003C1600">
              <w:rPr>
                <w:rStyle w:val="Hipervnculo"/>
                <w:noProof/>
              </w:rPr>
              <w:t>23.1.</w:t>
            </w:r>
            <w:r w:rsidR="0065290A">
              <w:rPr>
                <w:rFonts w:cstheme="minorBidi"/>
                <w:noProof/>
              </w:rPr>
              <w:tab/>
            </w:r>
            <w:r w:rsidR="0065290A" w:rsidRPr="003C1600">
              <w:rPr>
                <w:rStyle w:val="Hipervnculo"/>
                <w:noProof/>
              </w:rPr>
              <w:t>Litigios y demandas</w:t>
            </w:r>
            <w:r w:rsidR="0065290A">
              <w:rPr>
                <w:noProof/>
                <w:webHidden/>
              </w:rPr>
              <w:tab/>
            </w:r>
            <w:r w:rsidR="0065290A">
              <w:rPr>
                <w:noProof/>
                <w:webHidden/>
              </w:rPr>
              <w:fldChar w:fldCharType="begin"/>
            </w:r>
            <w:r w:rsidR="0065290A">
              <w:rPr>
                <w:noProof/>
                <w:webHidden/>
              </w:rPr>
              <w:instrText xml:space="preserve"> PAGEREF _Toc30823524 \h </w:instrText>
            </w:r>
            <w:r w:rsidR="0065290A">
              <w:rPr>
                <w:noProof/>
                <w:webHidden/>
              </w:rPr>
            </w:r>
            <w:r w:rsidR="0065290A">
              <w:rPr>
                <w:noProof/>
                <w:webHidden/>
              </w:rPr>
              <w:fldChar w:fldCharType="separate"/>
            </w:r>
            <w:r w:rsidR="0065290A">
              <w:rPr>
                <w:noProof/>
                <w:webHidden/>
              </w:rPr>
              <w:t>30</w:t>
            </w:r>
            <w:r w:rsidR="0065290A">
              <w:rPr>
                <w:noProof/>
                <w:webHidden/>
              </w:rPr>
              <w:fldChar w:fldCharType="end"/>
            </w:r>
          </w:hyperlink>
        </w:p>
        <w:p w:rsidR="0065290A" w:rsidRDefault="00A67903" w:rsidP="0065290A">
          <w:pPr>
            <w:pStyle w:val="TDC3"/>
            <w:rPr>
              <w:rFonts w:cstheme="minorBidi"/>
              <w:noProof/>
            </w:rPr>
          </w:pPr>
          <w:hyperlink w:anchor="_Toc30823525" w:history="1">
            <w:r w:rsidR="0065290A" w:rsidRPr="003C1600">
              <w:rPr>
                <w:rStyle w:val="Hipervnculo"/>
                <w:noProof/>
              </w:rPr>
              <w:t>Anexo 23.1.</w:t>
            </w:r>
            <w:r w:rsidR="0065290A">
              <w:rPr>
                <w:noProof/>
                <w:webHidden/>
              </w:rPr>
              <w:tab/>
            </w:r>
            <w:r w:rsidR="0065290A">
              <w:rPr>
                <w:noProof/>
                <w:webHidden/>
              </w:rPr>
              <w:fldChar w:fldCharType="begin"/>
            </w:r>
            <w:r w:rsidR="0065290A">
              <w:rPr>
                <w:noProof/>
                <w:webHidden/>
              </w:rPr>
              <w:instrText xml:space="preserve"> PAGEREF _Toc30823525 \h </w:instrText>
            </w:r>
            <w:r w:rsidR="0065290A">
              <w:rPr>
                <w:noProof/>
                <w:webHidden/>
              </w:rPr>
            </w:r>
            <w:r w:rsidR="0065290A">
              <w:rPr>
                <w:noProof/>
                <w:webHidden/>
              </w:rPr>
              <w:fldChar w:fldCharType="separate"/>
            </w:r>
            <w:r w:rsidR="0065290A">
              <w:rPr>
                <w:noProof/>
                <w:webHidden/>
              </w:rPr>
              <w:t>30</w:t>
            </w:r>
            <w:r w:rsidR="0065290A">
              <w:rPr>
                <w:noProof/>
                <w:webHidden/>
              </w:rPr>
              <w:fldChar w:fldCharType="end"/>
            </w:r>
          </w:hyperlink>
        </w:p>
        <w:p w:rsidR="0065290A" w:rsidRDefault="00A67903" w:rsidP="0065290A">
          <w:pPr>
            <w:pStyle w:val="TDC3"/>
            <w:rPr>
              <w:rFonts w:cstheme="minorBidi"/>
              <w:noProof/>
            </w:rPr>
          </w:pPr>
          <w:hyperlink w:anchor="_Toc30823526" w:history="1">
            <w:r w:rsidR="0065290A" w:rsidRPr="003C1600">
              <w:rPr>
                <w:rStyle w:val="Hipervnculo"/>
                <w:noProof/>
                <w:lang w:val="es-419"/>
              </w:rPr>
              <w:t>Anexo 23.2.</w:t>
            </w:r>
            <w:r w:rsidR="0065290A">
              <w:rPr>
                <w:noProof/>
                <w:webHidden/>
              </w:rPr>
              <w:tab/>
            </w:r>
            <w:r w:rsidR="0065290A">
              <w:rPr>
                <w:noProof/>
                <w:webHidden/>
              </w:rPr>
              <w:fldChar w:fldCharType="begin"/>
            </w:r>
            <w:r w:rsidR="0065290A">
              <w:rPr>
                <w:noProof/>
                <w:webHidden/>
              </w:rPr>
              <w:instrText xml:space="preserve"> PAGEREF _Toc30823526 \h </w:instrText>
            </w:r>
            <w:r w:rsidR="0065290A">
              <w:rPr>
                <w:noProof/>
                <w:webHidden/>
              </w:rPr>
            </w:r>
            <w:r w:rsidR="0065290A">
              <w:rPr>
                <w:noProof/>
                <w:webHidden/>
              </w:rPr>
              <w:fldChar w:fldCharType="separate"/>
            </w:r>
            <w:r w:rsidR="0065290A">
              <w:rPr>
                <w:noProof/>
                <w:webHidden/>
              </w:rPr>
              <w:t>31</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27" w:history="1">
            <w:r w:rsidR="0065290A" w:rsidRPr="003C1600">
              <w:rPr>
                <w:rStyle w:val="Hipervnculo"/>
                <w:noProof/>
              </w:rPr>
              <w:t>NOTA 25. ACTIVOS Y PASIVOS CONTINGENTES</w:t>
            </w:r>
            <w:r w:rsidR="0065290A">
              <w:rPr>
                <w:noProof/>
                <w:webHidden/>
              </w:rPr>
              <w:tab/>
            </w:r>
            <w:r w:rsidR="0065290A">
              <w:rPr>
                <w:noProof/>
                <w:webHidden/>
              </w:rPr>
              <w:fldChar w:fldCharType="begin"/>
            </w:r>
            <w:r w:rsidR="0065290A">
              <w:rPr>
                <w:noProof/>
                <w:webHidden/>
              </w:rPr>
              <w:instrText xml:space="preserve"> PAGEREF _Toc30823527 \h </w:instrText>
            </w:r>
            <w:r w:rsidR="0065290A">
              <w:rPr>
                <w:noProof/>
                <w:webHidden/>
              </w:rPr>
            </w:r>
            <w:r w:rsidR="0065290A">
              <w:rPr>
                <w:noProof/>
                <w:webHidden/>
              </w:rPr>
              <w:fldChar w:fldCharType="separate"/>
            </w:r>
            <w:r w:rsidR="0065290A">
              <w:rPr>
                <w:noProof/>
                <w:webHidden/>
              </w:rPr>
              <w:t>31</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28" w:history="1">
            <w:r w:rsidR="0065290A" w:rsidRPr="003C1600">
              <w:rPr>
                <w:rStyle w:val="Hipervnculo"/>
                <w:noProof/>
              </w:rPr>
              <w:t>25.1.</w:t>
            </w:r>
            <w:r w:rsidR="0065290A">
              <w:rPr>
                <w:rFonts w:cstheme="minorBidi"/>
                <w:noProof/>
              </w:rPr>
              <w:tab/>
            </w:r>
            <w:r w:rsidR="0065290A" w:rsidRPr="003C1600">
              <w:rPr>
                <w:rStyle w:val="Hipervnculo"/>
                <w:noProof/>
              </w:rPr>
              <w:t>Activos contingentes</w:t>
            </w:r>
            <w:r w:rsidR="0065290A">
              <w:rPr>
                <w:noProof/>
                <w:webHidden/>
              </w:rPr>
              <w:tab/>
            </w:r>
            <w:r w:rsidR="0065290A">
              <w:rPr>
                <w:noProof/>
                <w:webHidden/>
              </w:rPr>
              <w:fldChar w:fldCharType="begin"/>
            </w:r>
            <w:r w:rsidR="0065290A">
              <w:rPr>
                <w:noProof/>
                <w:webHidden/>
              </w:rPr>
              <w:instrText xml:space="preserve"> PAGEREF _Toc30823528 \h </w:instrText>
            </w:r>
            <w:r w:rsidR="0065290A">
              <w:rPr>
                <w:noProof/>
                <w:webHidden/>
              </w:rPr>
            </w:r>
            <w:r w:rsidR="0065290A">
              <w:rPr>
                <w:noProof/>
                <w:webHidden/>
              </w:rPr>
              <w:fldChar w:fldCharType="separate"/>
            </w:r>
            <w:r w:rsidR="0065290A">
              <w:rPr>
                <w:noProof/>
                <w:webHidden/>
              </w:rPr>
              <w:t>31</w:t>
            </w:r>
            <w:r w:rsidR="0065290A">
              <w:rPr>
                <w:noProof/>
                <w:webHidden/>
              </w:rPr>
              <w:fldChar w:fldCharType="end"/>
            </w:r>
          </w:hyperlink>
        </w:p>
        <w:p w:rsidR="0065290A" w:rsidRDefault="00A67903" w:rsidP="0065290A">
          <w:pPr>
            <w:pStyle w:val="TDC3"/>
            <w:rPr>
              <w:rFonts w:cstheme="minorBidi"/>
              <w:noProof/>
            </w:rPr>
          </w:pPr>
          <w:hyperlink w:anchor="_Toc30823529" w:history="1">
            <w:r w:rsidR="0065290A" w:rsidRPr="003C1600">
              <w:rPr>
                <w:rStyle w:val="Hipervnculo"/>
                <w:noProof/>
              </w:rPr>
              <w:t>25.1.1.</w:t>
            </w:r>
            <w:r w:rsidR="0065290A">
              <w:rPr>
                <w:rFonts w:cstheme="minorBidi"/>
                <w:noProof/>
              </w:rPr>
              <w:tab/>
            </w:r>
            <w:r w:rsidR="0065290A" w:rsidRPr="003C1600">
              <w:rPr>
                <w:rStyle w:val="Hipervnculo"/>
                <w:noProof/>
              </w:rPr>
              <w:t>Revelaciones generales de activos contingentes</w:t>
            </w:r>
            <w:r w:rsidR="0065290A">
              <w:rPr>
                <w:noProof/>
                <w:webHidden/>
              </w:rPr>
              <w:tab/>
            </w:r>
            <w:r w:rsidR="0065290A">
              <w:rPr>
                <w:noProof/>
                <w:webHidden/>
              </w:rPr>
              <w:fldChar w:fldCharType="begin"/>
            </w:r>
            <w:r w:rsidR="0065290A">
              <w:rPr>
                <w:noProof/>
                <w:webHidden/>
              </w:rPr>
              <w:instrText xml:space="preserve"> PAGEREF _Toc30823529 \h </w:instrText>
            </w:r>
            <w:r w:rsidR="0065290A">
              <w:rPr>
                <w:noProof/>
                <w:webHidden/>
              </w:rPr>
            </w:r>
            <w:r w:rsidR="0065290A">
              <w:rPr>
                <w:noProof/>
                <w:webHidden/>
              </w:rPr>
              <w:fldChar w:fldCharType="separate"/>
            </w:r>
            <w:r w:rsidR="0065290A">
              <w:rPr>
                <w:noProof/>
                <w:webHidden/>
              </w:rPr>
              <w:t>31</w:t>
            </w:r>
            <w:r w:rsidR="0065290A">
              <w:rPr>
                <w:noProof/>
                <w:webHidden/>
              </w:rPr>
              <w:fldChar w:fldCharType="end"/>
            </w:r>
          </w:hyperlink>
        </w:p>
        <w:p w:rsidR="0065290A" w:rsidRDefault="00A67903" w:rsidP="0065290A">
          <w:pPr>
            <w:pStyle w:val="TDC3"/>
            <w:rPr>
              <w:rFonts w:cstheme="minorBidi"/>
              <w:noProof/>
            </w:rPr>
          </w:pPr>
          <w:hyperlink w:anchor="_Toc30823530" w:history="1">
            <w:r w:rsidR="0065290A" w:rsidRPr="003C1600">
              <w:rPr>
                <w:rStyle w:val="Hipervnculo"/>
                <w:noProof/>
                <w:lang w:val="es-419"/>
              </w:rPr>
              <w:t>25.2</w:t>
            </w:r>
            <w:r w:rsidR="0065290A">
              <w:rPr>
                <w:rFonts w:cstheme="minorBidi"/>
                <w:noProof/>
              </w:rPr>
              <w:tab/>
            </w:r>
            <w:r w:rsidR="0065290A" w:rsidRPr="003C1600">
              <w:rPr>
                <w:rStyle w:val="Hipervnculo"/>
                <w:noProof/>
                <w:lang w:val="es-419"/>
              </w:rPr>
              <w:t>Pasivos contingentes</w:t>
            </w:r>
            <w:r w:rsidR="0065290A">
              <w:rPr>
                <w:noProof/>
                <w:webHidden/>
              </w:rPr>
              <w:tab/>
            </w:r>
            <w:r w:rsidR="0065290A">
              <w:rPr>
                <w:noProof/>
                <w:webHidden/>
              </w:rPr>
              <w:fldChar w:fldCharType="begin"/>
            </w:r>
            <w:r w:rsidR="0065290A">
              <w:rPr>
                <w:noProof/>
                <w:webHidden/>
              </w:rPr>
              <w:instrText xml:space="preserve"> PAGEREF _Toc30823530 \h </w:instrText>
            </w:r>
            <w:r w:rsidR="0065290A">
              <w:rPr>
                <w:noProof/>
                <w:webHidden/>
              </w:rPr>
            </w:r>
            <w:r w:rsidR="0065290A">
              <w:rPr>
                <w:noProof/>
                <w:webHidden/>
              </w:rPr>
              <w:fldChar w:fldCharType="separate"/>
            </w:r>
            <w:r w:rsidR="0065290A">
              <w:rPr>
                <w:noProof/>
                <w:webHidden/>
              </w:rPr>
              <w:t>31</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31" w:history="1">
            <w:r w:rsidR="0065290A" w:rsidRPr="003C1600">
              <w:rPr>
                <w:rStyle w:val="Hipervnculo"/>
                <w:noProof/>
              </w:rPr>
              <w:t>25.2.</w:t>
            </w:r>
            <w:r w:rsidR="0065290A">
              <w:rPr>
                <w:rFonts w:cstheme="minorBidi"/>
                <w:noProof/>
              </w:rPr>
              <w:tab/>
            </w:r>
            <w:r w:rsidR="0065290A" w:rsidRPr="003C1600">
              <w:rPr>
                <w:rStyle w:val="Hipervnculo"/>
                <w:noProof/>
              </w:rPr>
              <w:t>Pasivos contingentes</w:t>
            </w:r>
            <w:r w:rsidR="0065290A">
              <w:rPr>
                <w:noProof/>
                <w:webHidden/>
              </w:rPr>
              <w:tab/>
            </w:r>
            <w:r w:rsidR="0065290A">
              <w:rPr>
                <w:noProof/>
                <w:webHidden/>
              </w:rPr>
              <w:fldChar w:fldCharType="begin"/>
            </w:r>
            <w:r w:rsidR="0065290A">
              <w:rPr>
                <w:noProof/>
                <w:webHidden/>
              </w:rPr>
              <w:instrText xml:space="preserve"> PAGEREF _Toc30823531 \h </w:instrText>
            </w:r>
            <w:r w:rsidR="0065290A">
              <w:rPr>
                <w:noProof/>
                <w:webHidden/>
              </w:rPr>
            </w:r>
            <w:r w:rsidR="0065290A">
              <w:rPr>
                <w:noProof/>
                <w:webHidden/>
              </w:rPr>
              <w:fldChar w:fldCharType="separate"/>
            </w:r>
            <w:r w:rsidR="0065290A">
              <w:rPr>
                <w:noProof/>
                <w:webHidden/>
              </w:rPr>
              <w:t>32</w:t>
            </w:r>
            <w:r w:rsidR="0065290A">
              <w:rPr>
                <w:noProof/>
                <w:webHidden/>
              </w:rPr>
              <w:fldChar w:fldCharType="end"/>
            </w:r>
          </w:hyperlink>
        </w:p>
        <w:p w:rsidR="0065290A" w:rsidRDefault="00A67903" w:rsidP="0065290A">
          <w:pPr>
            <w:pStyle w:val="TDC3"/>
            <w:rPr>
              <w:rFonts w:cstheme="minorBidi"/>
              <w:noProof/>
            </w:rPr>
          </w:pPr>
          <w:hyperlink w:anchor="_Toc30823532" w:history="1">
            <w:r w:rsidR="0065290A" w:rsidRPr="003C1600">
              <w:rPr>
                <w:rStyle w:val="Hipervnculo"/>
                <w:noProof/>
                <w:lang w:val="es-419"/>
              </w:rPr>
              <w:t>25.2.1  Revelaciones Generales</w:t>
            </w:r>
            <w:r w:rsidR="0065290A">
              <w:rPr>
                <w:noProof/>
                <w:webHidden/>
              </w:rPr>
              <w:tab/>
            </w:r>
            <w:r w:rsidR="0065290A">
              <w:rPr>
                <w:noProof/>
                <w:webHidden/>
              </w:rPr>
              <w:fldChar w:fldCharType="begin"/>
            </w:r>
            <w:r w:rsidR="0065290A">
              <w:rPr>
                <w:noProof/>
                <w:webHidden/>
              </w:rPr>
              <w:instrText xml:space="preserve"> PAGEREF _Toc30823532 \h </w:instrText>
            </w:r>
            <w:r w:rsidR="0065290A">
              <w:rPr>
                <w:noProof/>
                <w:webHidden/>
              </w:rPr>
            </w:r>
            <w:r w:rsidR="0065290A">
              <w:rPr>
                <w:noProof/>
                <w:webHidden/>
              </w:rPr>
              <w:fldChar w:fldCharType="separate"/>
            </w:r>
            <w:r w:rsidR="0065290A">
              <w:rPr>
                <w:noProof/>
                <w:webHidden/>
              </w:rPr>
              <w:t>32</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33" w:history="1">
            <w:r w:rsidR="0065290A" w:rsidRPr="003C1600">
              <w:rPr>
                <w:rStyle w:val="Hipervnculo"/>
                <w:noProof/>
              </w:rPr>
              <w:t>NOTA 26. CUENTAS DE ORDEN</w:t>
            </w:r>
            <w:r w:rsidR="0065290A">
              <w:rPr>
                <w:noProof/>
                <w:webHidden/>
              </w:rPr>
              <w:tab/>
            </w:r>
            <w:r w:rsidR="0065290A">
              <w:rPr>
                <w:noProof/>
                <w:webHidden/>
              </w:rPr>
              <w:fldChar w:fldCharType="begin"/>
            </w:r>
            <w:r w:rsidR="0065290A">
              <w:rPr>
                <w:noProof/>
                <w:webHidden/>
              </w:rPr>
              <w:instrText xml:space="preserve"> PAGEREF _Toc30823533 \h </w:instrText>
            </w:r>
            <w:r w:rsidR="0065290A">
              <w:rPr>
                <w:noProof/>
                <w:webHidden/>
              </w:rPr>
            </w:r>
            <w:r w:rsidR="0065290A">
              <w:rPr>
                <w:noProof/>
                <w:webHidden/>
              </w:rPr>
              <w:fldChar w:fldCharType="separate"/>
            </w:r>
            <w:r w:rsidR="0065290A">
              <w:rPr>
                <w:noProof/>
                <w:webHidden/>
              </w:rPr>
              <w:t>32</w:t>
            </w:r>
            <w:r w:rsidR="0065290A">
              <w:rPr>
                <w:noProof/>
                <w:webHidden/>
              </w:rPr>
              <w:fldChar w:fldCharType="end"/>
            </w:r>
          </w:hyperlink>
        </w:p>
        <w:p w:rsidR="0065290A" w:rsidRDefault="00A67903" w:rsidP="0065290A">
          <w:pPr>
            <w:pStyle w:val="TDC2"/>
            <w:tabs>
              <w:tab w:val="left" w:pos="1100"/>
              <w:tab w:val="right" w:leader="dot" w:pos="9111"/>
            </w:tabs>
            <w:rPr>
              <w:rFonts w:cstheme="minorBidi"/>
              <w:noProof/>
            </w:rPr>
          </w:pPr>
          <w:hyperlink w:anchor="_Toc30823534" w:history="1">
            <w:r w:rsidR="0065290A" w:rsidRPr="003C1600">
              <w:rPr>
                <w:rStyle w:val="Hipervnculo"/>
                <w:noProof/>
              </w:rPr>
              <w:t>26.1.</w:t>
            </w:r>
            <w:r w:rsidR="0065290A">
              <w:rPr>
                <w:rFonts w:cstheme="minorBidi"/>
                <w:noProof/>
              </w:rPr>
              <w:tab/>
            </w:r>
            <w:r w:rsidR="0065290A" w:rsidRPr="003C1600">
              <w:rPr>
                <w:rStyle w:val="Hipervnculo"/>
                <w:noProof/>
              </w:rPr>
              <w:t>Cuentas de orden deudoras</w:t>
            </w:r>
            <w:r w:rsidR="0065290A">
              <w:rPr>
                <w:noProof/>
                <w:webHidden/>
              </w:rPr>
              <w:tab/>
            </w:r>
            <w:r w:rsidR="0065290A">
              <w:rPr>
                <w:noProof/>
                <w:webHidden/>
              </w:rPr>
              <w:fldChar w:fldCharType="begin"/>
            </w:r>
            <w:r w:rsidR="0065290A">
              <w:rPr>
                <w:noProof/>
                <w:webHidden/>
              </w:rPr>
              <w:instrText xml:space="preserve"> PAGEREF _Toc30823534 \h </w:instrText>
            </w:r>
            <w:r w:rsidR="0065290A">
              <w:rPr>
                <w:noProof/>
                <w:webHidden/>
              </w:rPr>
            </w:r>
            <w:r w:rsidR="0065290A">
              <w:rPr>
                <w:noProof/>
                <w:webHidden/>
              </w:rPr>
              <w:fldChar w:fldCharType="separate"/>
            </w:r>
            <w:r w:rsidR="0065290A">
              <w:rPr>
                <w:noProof/>
                <w:webHidden/>
              </w:rPr>
              <w:t>32</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35" w:history="1">
            <w:r w:rsidR="0065290A" w:rsidRPr="003C1600">
              <w:rPr>
                <w:rStyle w:val="Hipervnculo"/>
                <w:noProof/>
                <w:lang w:val="es-419"/>
              </w:rPr>
              <w:t>26.2. Cuentas de orden acreedoras</w:t>
            </w:r>
            <w:r w:rsidR="0065290A">
              <w:rPr>
                <w:noProof/>
                <w:webHidden/>
              </w:rPr>
              <w:tab/>
            </w:r>
            <w:r w:rsidR="0065290A">
              <w:rPr>
                <w:noProof/>
                <w:webHidden/>
              </w:rPr>
              <w:fldChar w:fldCharType="begin"/>
            </w:r>
            <w:r w:rsidR="0065290A">
              <w:rPr>
                <w:noProof/>
                <w:webHidden/>
              </w:rPr>
              <w:instrText xml:space="preserve"> PAGEREF _Toc30823535 \h </w:instrText>
            </w:r>
            <w:r w:rsidR="0065290A">
              <w:rPr>
                <w:noProof/>
                <w:webHidden/>
              </w:rPr>
            </w:r>
            <w:r w:rsidR="0065290A">
              <w:rPr>
                <w:noProof/>
                <w:webHidden/>
              </w:rPr>
              <w:fldChar w:fldCharType="separate"/>
            </w:r>
            <w:r w:rsidR="0065290A">
              <w:rPr>
                <w:noProof/>
                <w:webHidden/>
              </w:rPr>
              <w:t>34</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36" w:history="1">
            <w:r w:rsidR="0065290A" w:rsidRPr="003C1600">
              <w:rPr>
                <w:rStyle w:val="Hipervnculo"/>
                <w:noProof/>
              </w:rPr>
              <w:t>NOTA 27. PATRIMONIO</w:t>
            </w:r>
            <w:r w:rsidR="0065290A">
              <w:rPr>
                <w:noProof/>
                <w:webHidden/>
              </w:rPr>
              <w:tab/>
            </w:r>
            <w:r w:rsidR="0065290A">
              <w:rPr>
                <w:noProof/>
                <w:webHidden/>
              </w:rPr>
              <w:fldChar w:fldCharType="begin"/>
            </w:r>
            <w:r w:rsidR="0065290A">
              <w:rPr>
                <w:noProof/>
                <w:webHidden/>
              </w:rPr>
              <w:instrText xml:space="preserve"> PAGEREF _Toc30823536 \h </w:instrText>
            </w:r>
            <w:r w:rsidR="0065290A">
              <w:rPr>
                <w:noProof/>
                <w:webHidden/>
              </w:rPr>
            </w:r>
            <w:r w:rsidR="0065290A">
              <w:rPr>
                <w:noProof/>
                <w:webHidden/>
              </w:rPr>
              <w:fldChar w:fldCharType="separate"/>
            </w:r>
            <w:r w:rsidR="0065290A">
              <w:rPr>
                <w:noProof/>
                <w:webHidden/>
              </w:rPr>
              <w:t>35</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37"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_Toc30823537 \h </w:instrText>
            </w:r>
            <w:r w:rsidR="0065290A">
              <w:rPr>
                <w:noProof/>
                <w:webHidden/>
              </w:rPr>
            </w:r>
            <w:r w:rsidR="0065290A">
              <w:rPr>
                <w:noProof/>
                <w:webHidden/>
              </w:rPr>
              <w:fldChar w:fldCharType="separate"/>
            </w:r>
            <w:r w:rsidR="0065290A">
              <w:rPr>
                <w:noProof/>
                <w:webHidden/>
              </w:rPr>
              <w:t>35</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38" w:history="1">
            <w:r w:rsidR="0065290A" w:rsidRPr="003C1600">
              <w:rPr>
                <w:rStyle w:val="Hipervnculo"/>
                <w:noProof/>
                <w:lang w:val="es-419"/>
              </w:rPr>
              <w:t>27.4. Otro resultado integral (ORI) del periodo</w:t>
            </w:r>
            <w:r w:rsidR="0065290A">
              <w:rPr>
                <w:noProof/>
                <w:webHidden/>
              </w:rPr>
              <w:tab/>
            </w:r>
            <w:r w:rsidR="0065290A">
              <w:rPr>
                <w:noProof/>
                <w:webHidden/>
              </w:rPr>
              <w:fldChar w:fldCharType="begin"/>
            </w:r>
            <w:r w:rsidR="0065290A">
              <w:rPr>
                <w:noProof/>
                <w:webHidden/>
              </w:rPr>
              <w:instrText xml:space="preserve"> PAGEREF _Toc30823538 \h </w:instrText>
            </w:r>
            <w:r w:rsidR="0065290A">
              <w:rPr>
                <w:noProof/>
                <w:webHidden/>
              </w:rPr>
            </w:r>
            <w:r w:rsidR="0065290A">
              <w:rPr>
                <w:noProof/>
                <w:webHidden/>
              </w:rPr>
              <w:fldChar w:fldCharType="separate"/>
            </w:r>
            <w:r w:rsidR="0065290A">
              <w:rPr>
                <w:noProof/>
                <w:webHidden/>
              </w:rPr>
              <w:t>35</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39" w:history="1">
            <w:r w:rsidR="0065290A" w:rsidRPr="003C1600">
              <w:rPr>
                <w:rStyle w:val="Hipervnculo"/>
                <w:noProof/>
              </w:rPr>
              <w:t>NOTA 28. INGRESOS</w:t>
            </w:r>
            <w:r w:rsidR="0065290A">
              <w:rPr>
                <w:noProof/>
                <w:webHidden/>
              </w:rPr>
              <w:tab/>
            </w:r>
            <w:r w:rsidR="0065290A">
              <w:rPr>
                <w:noProof/>
                <w:webHidden/>
              </w:rPr>
              <w:fldChar w:fldCharType="begin"/>
            </w:r>
            <w:r w:rsidR="0065290A">
              <w:rPr>
                <w:noProof/>
                <w:webHidden/>
              </w:rPr>
              <w:instrText xml:space="preserve"> PAGEREF _Toc30823539 \h </w:instrText>
            </w:r>
            <w:r w:rsidR="0065290A">
              <w:rPr>
                <w:noProof/>
                <w:webHidden/>
              </w:rPr>
            </w:r>
            <w:r w:rsidR="0065290A">
              <w:rPr>
                <w:noProof/>
                <w:webHidden/>
              </w:rPr>
              <w:fldChar w:fldCharType="separate"/>
            </w:r>
            <w:r w:rsidR="0065290A">
              <w:rPr>
                <w:noProof/>
                <w:webHidden/>
              </w:rPr>
              <w:t>37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0"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_Toc30823540 \h </w:instrText>
            </w:r>
            <w:r w:rsidR="0065290A">
              <w:rPr>
                <w:noProof/>
                <w:webHidden/>
              </w:rPr>
            </w:r>
            <w:r w:rsidR="0065290A">
              <w:rPr>
                <w:noProof/>
                <w:webHidden/>
              </w:rPr>
              <w:fldChar w:fldCharType="separate"/>
            </w:r>
            <w:r w:rsidR="0065290A">
              <w:rPr>
                <w:noProof/>
                <w:webHidden/>
              </w:rPr>
              <w:t>37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1" w:history="1">
            <w:r w:rsidR="0065290A" w:rsidRPr="003C1600">
              <w:rPr>
                <w:rStyle w:val="Hipervnculo"/>
                <w:noProof/>
                <w:lang w:val="es-419"/>
              </w:rPr>
              <w:t>28.4. Otros ingresos</w:t>
            </w:r>
            <w:r w:rsidR="0065290A">
              <w:rPr>
                <w:noProof/>
                <w:webHidden/>
              </w:rPr>
              <w:tab/>
            </w:r>
            <w:r w:rsidR="0065290A">
              <w:rPr>
                <w:noProof/>
                <w:webHidden/>
              </w:rPr>
              <w:fldChar w:fldCharType="begin"/>
            </w:r>
            <w:r w:rsidR="0065290A">
              <w:rPr>
                <w:noProof/>
                <w:webHidden/>
              </w:rPr>
              <w:instrText xml:space="preserve"> PAGEREF _Toc30823541 \h </w:instrText>
            </w:r>
            <w:r w:rsidR="0065290A">
              <w:rPr>
                <w:noProof/>
                <w:webHidden/>
              </w:rPr>
            </w:r>
            <w:r w:rsidR="0065290A">
              <w:rPr>
                <w:noProof/>
                <w:webHidden/>
              </w:rPr>
              <w:fldChar w:fldCharType="separate"/>
            </w:r>
            <w:r w:rsidR="0065290A">
              <w:rPr>
                <w:noProof/>
                <w:webHidden/>
              </w:rPr>
              <w:t>37</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2" w:history="1">
            <w:r w:rsidR="0065290A" w:rsidRPr="003C1600">
              <w:rPr>
                <w:rStyle w:val="Hipervnculo"/>
                <w:noProof/>
                <w:lang w:val="es-419"/>
              </w:rPr>
              <w:t>Anexo 28.4</w:t>
            </w:r>
            <w:r w:rsidR="0065290A">
              <w:rPr>
                <w:noProof/>
                <w:webHidden/>
              </w:rPr>
              <w:tab/>
            </w:r>
            <w:r w:rsidR="0065290A">
              <w:rPr>
                <w:noProof/>
                <w:webHidden/>
              </w:rPr>
              <w:fldChar w:fldCharType="begin"/>
            </w:r>
            <w:r w:rsidR="0065290A">
              <w:rPr>
                <w:noProof/>
                <w:webHidden/>
              </w:rPr>
              <w:instrText xml:space="preserve"> PAGEREF _Toc30823542 \h </w:instrText>
            </w:r>
            <w:r w:rsidR="0065290A">
              <w:rPr>
                <w:noProof/>
                <w:webHidden/>
              </w:rPr>
            </w:r>
            <w:r w:rsidR="0065290A">
              <w:rPr>
                <w:noProof/>
                <w:webHidden/>
              </w:rPr>
              <w:fldChar w:fldCharType="separate"/>
            </w:r>
            <w:r w:rsidR="0065290A">
              <w:rPr>
                <w:noProof/>
                <w:webHidden/>
              </w:rPr>
              <w:t>37</w:t>
            </w:r>
            <w:r w:rsidR="0065290A">
              <w:rPr>
                <w:noProof/>
                <w:webHidden/>
              </w:rPr>
              <w:fldChar w:fldCharType="end"/>
            </w:r>
          </w:hyperlink>
        </w:p>
        <w:p w:rsidR="0065290A" w:rsidRDefault="00A67903" w:rsidP="0065290A">
          <w:pPr>
            <w:pStyle w:val="TDC1"/>
            <w:tabs>
              <w:tab w:val="right" w:leader="dot" w:pos="9111"/>
            </w:tabs>
            <w:rPr>
              <w:rFonts w:asciiTheme="minorHAnsi" w:eastAsiaTheme="minorEastAsia" w:hAnsiTheme="minorHAnsi" w:cstheme="minorBidi"/>
              <w:noProof/>
              <w:lang w:eastAsia="es-CO"/>
            </w:rPr>
          </w:pPr>
          <w:hyperlink w:anchor="_Toc30823543" w:history="1">
            <w:r w:rsidR="0065290A" w:rsidRPr="003C1600">
              <w:rPr>
                <w:rStyle w:val="Hipervnculo"/>
                <w:noProof/>
              </w:rPr>
              <w:t>NOTA 29. GASTOS</w:t>
            </w:r>
            <w:r w:rsidR="0065290A">
              <w:rPr>
                <w:noProof/>
                <w:webHidden/>
              </w:rPr>
              <w:tab/>
            </w:r>
            <w:r w:rsidR="0065290A">
              <w:rPr>
                <w:noProof/>
                <w:webHidden/>
              </w:rPr>
              <w:fldChar w:fldCharType="begin"/>
            </w:r>
            <w:r w:rsidR="0065290A">
              <w:rPr>
                <w:noProof/>
                <w:webHidden/>
              </w:rPr>
              <w:instrText xml:space="preserve"> PAGEREF _Toc30823543 \h </w:instrText>
            </w:r>
            <w:r w:rsidR="0065290A">
              <w:rPr>
                <w:noProof/>
                <w:webHidden/>
              </w:rPr>
            </w:r>
            <w:r w:rsidR="0065290A">
              <w:rPr>
                <w:noProof/>
                <w:webHidden/>
              </w:rPr>
              <w:fldChar w:fldCharType="separate"/>
            </w:r>
            <w:r w:rsidR="0065290A">
              <w:rPr>
                <w:noProof/>
                <w:webHidden/>
              </w:rPr>
              <w:t>38</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4" w:history="1">
            <w:r w:rsidR="0065290A" w:rsidRPr="003C1600">
              <w:rPr>
                <w:rStyle w:val="Hipervnculo"/>
                <w:noProof/>
              </w:rPr>
              <w:t>Composición</w:t>
            </w:r>
            <w:r w:rsidR="0065290A">
              <w:rPr>
                <w:noProof/>
                <w:webHidden/>
              </w:rPr>
              <w:tab/>
            </w:r>
            <w:r w:rsidR="0065290A">
              <w:rPr>
                <w:noProof/>
                <w:webHidden/>
              </w:rPr>
              <w:fldChar w:fldCharType="begin"/>
            </w:r>
            <w:r w:rsidR="0065290A">
              <w:rPr>
                <w:noProof/>
                <w:webHidden/>
              </w:rPr>
              <w:instrText xml:space="preserve"> PAGEREF _Toc30823544 \h </w:instrText>
            </w:r>
            <w:r w:rsidR="0065290A">
              <w:rPr>
                <w:noProof/>
                <w:webHidden/>
              </w:rPr>
            </w:r>
            <w:r w:rsidR="0065290A">
              <w:rPr>
                <w:noProof/>
                <w:webHidden/>
              </w:rPr>
              <w:fldChar w:fldCharType="separate"/>
            </w:r>
            <w:r w:rsidR="0065290A">
              <w:rPr>
                <w:noProof/>
                <w:webHidden/>
              </w:rPr>
              <w:t>38</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5" w:history="1">
            <w:r w:rsidR="0065290A" w:rsidRPr="003C1600">
              <w:rPr>
                <w:rStyle w:val="Hipervnculo"/>
                <w:noProof/>
                <w:lang w:val="es-419"/>
              </w:rPr>
              <w:t>29.1. Gastos de administración, de operación y de ventas</w:t>
            </w:r>
            <w:r w:rsidR="0065290A">
              <w:rPr>
                <w:noProof/>
                <w:webHidden/>
              </w:rPr>
              <w:tab/>
            </w:r>
            <w:r w:rsidR="0065290A">
              <w:rPr>
                <w:noProof/>
                <w:webHidden/>
              </w:rPr>
              <w:fldChar w:fldCharType="begin"/>
            </w:r>
            <w:r w:rsidR="0065290A">
              <w:rPr>
                <w:noProof/>
                <w:webHidden/>
              </w:rPr>
              <w:instrText xml:space="preserve"> PAGEREF _Toc30823545 \h </w:instrText>
            </w:r>
            <w:r w:rsidR="0065290A">
              <w:rPr>
                <w:noProof/>
                <w:webHidden/>
              </w:rPr>
            </w:r>
            <w:r w:rsidR="0065290A">
              <w:rPr>
                <w:noProof/>
                <w:webHidden/>
              </w:rPr>
              <w:fldChar w:fldCharType="separate"/>
            </w:r>
            <w:r w:rsidR="0065290A">
              <w:rPr>
                <w:noProof/>
                <w:webHidden/>
              </w:rPr>
              <w:t>38</w:t>
            </w:r>
            <w:r w:rsidR="0065290A">
              <w:rPr>
                <w:noProof/>
                <w:webHidden/>
              </w:rPr>
              <w:fldChar w:fldCharType="end"/>
            </w:r>
          </w:hyperlink>
        </w:p>
        <w:p w:rsidR="0065290A" w:rsidRDefault="00A67903" w:rsidP="0065290A">
          <w:pPr>
            <w:pStyle w:val="TDC3"/>
            <w:rPr>
              <w:rFonts w:cstheme="minorBidi"/>
              <w:noProof/>
            </w:rPr>
          </w:pPr>
          <w:hyperlink w:anchor="_Toc30823546" w:history="1">
            <w:r w:rsidR="0065290A" w:rsidRPr="003C1600">
              <w:rPr>
                <w:rStyle w:val="Hipervnculo"/>
                <w:noProof/>
                <w:lang w:val="es-419"/>
              </w:rPr>
              <w:t>Anexo 29.1</w:t>
            </w:r>
            <w:r w:rsidR="0065290A">
              <w:rPr>
                <w:noProof/>
                <w:webHidden/>
              </w:rPr>
              <w:tab/>
            </w:r>
            <w:r w:rsidR="0065290A">
              <w:rPr>
                <w:noProof/>
                <w:webHidden/>
              </w:rPr>
              <w:fldChar w:fldCharType="begin"/>
            </w:r>
            <w:r w:rsidR="0065290A">
              <w:rPr>
                <w:noProof/>
                <w:webHidden/>
              </w:rPr>
              <w:instrText xml:space="preserve"> PAGEREF _Toc30823546 \h </w:instrText>
            </w:r>
            <w:r w:rsidR="0065290A">
              <w:rPr>
                <w:noProof/>
                <w:webHidden/>
              </w:rPr>
            </w:r>
            <w:r w:rsidR="0065290A">
              <w:rPr>
                <w:noProof/>
                <w:webHidden/>
              </w:rPr>
              <w:fldChar w:fldCharType="separate"/>
            </w:r>
            <w:r w:rsidR="0065290A">
              <w:rPr>
                <w:noProof/>
                <w:webHidden/>
              </w:rPr>
              <w:t>38</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47" w:history="1">
            <w:r w:rsidR="0065290A" w:rsidRPr="003C1600">
              <w:rPr>
                <w:rStyle w:val="Hipervnculo"/>
                <w:noProof/>
                <w:lang w:val="es-419"/>
              </w:rPr>
              <w:t>29.2. Deterioro, depreciaciones, amortizaciones y provisiones</w:t>
            </w:r>
            <w:r w:rsidR="0065290A">
              <w:rPr>
                <w:noProof/>
                <w:webHidden/>
              </w:rPr>
              <w:tab/>
            </w:r>
            <w:r w:rsidR="0065290A">
              <w:rPr>
                <w:noProof/>
                <w:webHidden/>
              </w:rPr>
              <w:fldChar w:fldCharType="begin"/>
            </w:r>
            <w:r w:rsidR="0065290A">
              <w:rPr>
                <w:noProof/>
                <w:webHidden/>
              </w:rPr>
              <w:instrText xml:space="preserve"> PAGEREF _Toc30823547 \h </w:instrText>
            </w:r>
            <w:r w:rsidR="0065290A">
              <w:rPr>
                <w:noProof/>
                <w:webHidden/>
              </w:rPr>
            </w:r>
            <w:r w:rsidR="0065290A">
              <w:rPr>
                <w:noProof/>
                <w:webHidden/>
              </w:rPr>
              <w:fldChar w:fldCharType="separate"/>
            </w:r>
            <w:r w:rsidR="0065290A">
              <w:rPr>
                <w:noProof/>
                <w:webHidden/>
              </w:rPr>
              <w:t>38</w:t>
            </w:r>
            <w:r w:rsidR="0065290A">
              <w:rPr>
                <w:noProof/>
                <w:webHidden/>
              </w:rPr>
              <w:fldChar w:fldCharType="end"/>
            </w:r>
          </w:hyperlink>
        </w:p>
        <w:p w:rsidR="0065290A" w:rsidRDefault="00A67903" w:rsidP="0065290A">
          <w:pPr>
            <w:pStyle w:val="TDC3"/>
            <w:rPr>
              <w:rFonts w:cstheme="minorBidi"/>
              <w:noProof/>
            </w:rPr>
          </w:pPr>
          <w:hyperlink w:anchor="_Toc30823548" w:history="1">
            <w:r w:rsidR="0065290A" w:rsidRPr="003C1600">
              <w:rPr>
                <w:rStyle w:val="Hipervnculo"/>
                <w:noProof/>
                <w:lang w:val="es-419"/>
              </w:rPr>
              <w:t>Anexo 29.2</w:t>
            </w:r>
            <w:r w:rsidR="0065290A">
              <w:rPr>
                <w:noProof/>
                <w:webHidden/>
              </w:rPr>
              <w:tab/>
            </w:r>
            <w:r w:rsidR="0065290A">
              <w:rPr>
                <w:noProof/>
                <w:webHidden/>
              </w:rPr>
              <w:fldChar w:fldCharType="begin"/>
            </w:r>
            <w:r w:rsidR="0065290A">
              <w:rPr>
                <w:noProof/>
                <w:webHidden/>
              </w:rPr>
              <w:instrText xml:space="preserve"> PAGEREF _Toc30823548 \h </w:instrText>
            </w:r>
            <w:r w:rsidR="0065290A">
              <w:rPr>
                <w:noProof/>
                <w:webHidden/>
              </w:rPr>
            </w:r>
            <w:r w:rsidR="0065290A">
              <w:rPr>
                <w:noProof/>
                <w:webHidden/>
              </w:rPr>
              <w:fldChar w:fldCharType="separate"/>
            </w:r>
            <w:r w:rsidR="0065290A">
              <w:rPr>
                <w:noProof/>
                <w:webHidden/>
              </w:rPr>
              <w:t>39</w:t>
            </w:r>
            <w:r w:rsidR="0065290A">
              <w:rPr>
                <w:noProof/>
                <w:webHidden/>
              </w:rPr>
              <w:fldChar w:fldCharType="end"/>
            </w:r>
          </w:hyperlink>
        </w:p>
        <w:p w:rsidR="0065290A" w:rsidRDefault="00A67903" w:rsidP="0065290A">
          <w:pPr>
            <w:pStyle w:val="TDC3"/>
            <w:rPr>
              <w:rFonts w:cstheme="minorBidi"/>
              <w:noProof/>
            </w:rPr>
          </w:pPr>
          <w:hyperlink w:anchor="_Toc30823549" w:history="1">
            <w:r w:rsidR="0065290A" w:rsidRPr="003C1600">
              <w:rPr>
                <w:rStyle w:val="Hipervnculo"/>
                <w:noProof/>
                <w:lang w:val="es-419"/>
              </w:rPr>
              <w:t>Anexo 29.2.1</w:t>
            </w:r>
            <w:r w:rsidR="0065290A">
              <w:rPr>
                <w:noProof/>
                <w:webHidden/>
              </w:rPr>
              <w:tab/>
            </w:r>
            <w:r w:rsidR="0065290A">
              <w:rPr>
                <w:noProof/>
                <w:webHidden/>
              </w:rPr>
              <w:fldChar w:fldCharType="begin"/>
            </w:r>
            <w:r w:rsidR="0065290A">
              <w:rPr>
                <w:noProof/>
                <w:webHidden/>
              </w:rPr>
              <w:instrText xml:space="preserve"> PAGEREF _Toc30823549 \h </w:instrText>
            </w:r>
            <w:r w:rsidR="0065290A">
              <w:rPr>
                <w:noProof/>
                <w:webHidden/>
              </w:rPr>
            </w:r>
            <w:r w:rsidR="0065290A">
              <w:rPr>
                <w:noProof/>
                <w:webHidden/>
              </w:rPr>
              <w:fldChar w:fldCharType="separate"/>
            </w:r>
            <w:r w:rsidR="0065290A">
              <w:rPr>
                <w:noProof/>
                <w:webHidden/>
              </w:rPr>
              <w:t>39</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50" w:history="1">
            <w:r w:rsidR="0065290A" w:rsidRPr="003C1600">
              <w:rPr>
                <w:rStyle w:val="Hipervnculo"/>
                <w:noProof/>
                <w:lang w:val="es-419"/>
              </w:rPr>
              <w:t>29.6 Operaciones institucionales</w:t>
            </w:r>
            <w:r w:rsidR="0065290A">
              <w:rPr>
                <w:noProof/>
                <w:webHidden/>
              </w:rPr>
              <w:tab/>
            </w:r>
            <w:r w:rsidR="0065290A">
              <w:rPr>
                <w:noProof/>
                <w:webHidden/>
              </w:rPr>
              <w:fldChar w:fldCharType="begin"/>
            </w:r>
            <w:r w:rsidR="0065290A">
              <w:rPr>
                <w:noProof/>
                <w:webHidden/>
              </w:rPr>
              <w:instrText xml:space="preserve"> PAGEREF _Toc30823550 \h </w:instrText>
            </w:r>
            <w:r w:rsidR="0065290A">
              <w:rPr>
                <w:noProof/>
                <w:webHidden/>
              </w:rPr>
            </w:r>
            <w:r w:rsidR="0065290A">
              <w:rPr>
                <w:noProof/>
                <w:webHidden/>
              </w:rPr>
              <w:fldChar w:fldCharType="separate"/>
            </w:r>
            <w:r w:rsidR="0065290A">
              <w:rPr>
                <w:noProof/>
                <w:webHidden/>
              </w:rPr>
              <w:t>39</w:t>
            </w:r>
            <w:r w:rsidR="0065290A">
              <w:rPr>
                <w:noProof/>
                <w:webHidden/>
              </w:rPr>
              <w:fldChar w:fldCharType="end"/>
            </w:r>
          </w:hyperlink>
        </w:p>
        <w:p w:rsidR="0065290A" w:rsidRDefault="00A67903" w:rsidP="0065290A">
          <w:pPr>
            <w:pStyle w:val="TDC3"/>
            <w:rPr>
              <w:rFonts w:cstheme="minorBidi"/>
              <w:noProof/>
            </w:rPr>
          </w:pPr>
          <w:hyperlink w:anchor="_Toc30823551" w:history="1">
            <w:r w:rsidR="0065290A" w:rsidRPr="003C1600">
              <w:rPr>
                <w:rStyle w:val="Hipervnculo"/>
                <w:noProof/>
                <w:lang w:val="es-419"/>
              </w:rPr>
              <w:t>Anexo 29.6</w:t>
            </w:r>
            <w:r w:rsidR="0065290A">
              <w:rPr>
                <w:noProof/>
                <w:webHidden/>
              </w:rPr>
              <w:tab/>
            </w:r>
            <w:r w:rsidR="0065290A">
              <w:rPr>
                <w:noProof/>
                <w:webHidden/>
              </w:rPr>
              <w:fldChar w:fldCharType="begin"/>
            </w:r>
            <w:r w:rsidR="0065290A">
              <w:rPr>
                <w:noProof/>
                <w:webHidden/>
              </w:rPr>
              <w:instrText xml:space="preserve"> PAGEREF _Toc30823551 \h </w:instrText>
            </w:r>
            <w:r w:rsidR="0065290A">
              <w:rPr>
                <w:noProof/>
                <w:webHidden/>
              </w:rPr>
            </w:r>
            <w:r w:rsidR="0065290A">
              <w:rPr>
                <w:noProof/>
                <w:webHidden/>
              </w:rPr>
              <w:fldChar w:fldCharType="separate"/>
            </w:r>
            <w:r w:rsidR="0065290A">
              <w:rPr>
                <w:noProof/>
                <w:webHidden/>
              </w:rPr>
              <w:t>40</w:t>
            </w:r>
            <w:r w:rsidR="0065290A">
              <w:rPr>
                <w:noProof/>
                <w:webHidden/>
              </w:rPr>
              <w:fldChar w:fldCharType="end"/>
            </w:r>
          </w:hyperlink>
        </w:p>
        <w:p w:rsidR="0065290A" w:rsidRDefault="00A67903" w:rsidP="0065290A">
          <w:pPr>
            <w:pStyle w:val="TDC2"/>
            <w:tabs>
              <w:tab w:val="right" w:leader="dot" w:pos="9111"/>
            </w:tabs>
            <w:rPr>
              <w:rFonts w:cstheme="minorBidi"/>
              <w:noProof/>
            </w:rPr>
          </w:pPr>
          <w:hyperlink w:anchor="_Toc30823552" w:history="1">
            <w:r w:rsidR="0065290A" w:rsidRPr="003C1600">
              <w:rPr>
                <w:rStyle w:val="Hipervnculo"/>
                <w:noProof/>
                <w:lang w:val="es-419"/>
              </w:rPr>
              <w:t>29.7 Otros gastos</w:t>
            </w:r>
            <w:r w:rsidR="0065290A">
              <w:rPr>
                <w:noProof/>
                <w:webHidden/>
              </w:rPr>
              <w:tab/>
            </w:r>
            <w:r w:rsidR="0065290A">
              <w:rPr>
                <w:noProof/>
                <w:webHidden/>
              </w:rPr>
              <w:fldChar w:fldCharType="begin"/>
            </w:r>
            <w:r w:rsidR="0065290A">
              <w:rPr>
                <w:noProof/>
                <w:webHidden/>
              </w:rPr>
              <w:instrText xml:space="preserve"> PAGEREF _Toc30823552 \h </w:instrText>
            </w:r>
            <w:r w:rsidR="0065290A">
              <w:rPr>
                <w:noProof/>
                <w:webHidden/>
              </w:rPr>
            </w:r>
            <w:r w:rsidR="0065290A">
              <w:rPr>
                <w:noProof/>
                <w:webHidden/>
              </w:rPr>
              <w:fldChar w:fldCharType="separate"/>
            </w:r>
            <w:r w:rsidR="0065290A">
              <w:rPr>
                <w:noProof/>
                <w:webHidden/>
              </w:rPr>
              <w:t>40</w:t>
            </w:r>
            <w:r w:rsidR="0065290A">
              <w:rPr>
                <w:noProof/>
                <w:webHidden/>
              </w:rPr>
              <w:fldChar w:fldCharType="end"/>
            </w:r>
          </w:hyperlink>
        </w:p>
        <w:p w:rsidR="0065290A" w:rsidRDefault="00A67903" w:rsidP="0065290A">
          <w:pPr>
            <w:pStyle w:val="TDC3"/>
            <w:rPr>
              <w:rFonts w:cstheme="minorBidi"/>
              <w:noProof/>
            </w:rPr>
          </w:pPr>
          <w:hyperlink w:anchor="_Toc30823553" w:history="1">
            <w:r w:rsidR="0065290A" w:rsidRPr="003C1600">
              <w:rPr>
                <w:rStyle w:val="Hipervnculo"/>
                <w:noProof/>
                <w:lang w:val="es-419"/>
              </w:rPr>
              <w:t>Anexo 29.7</w:t>
            </w:r>
            <w:r w:rsidR="0065290A">
              <w:rPr>
                <w:noProof/>
                <w:webHidden/>
              </w:rPr>
              <w:tab/>
            </w:r>
            <w:r w:rsidR="0065290A">
              <w:rPr>
                <w:noProof/>
                <w:webHidden/>
              </w:rPr>
              <w:fldChar w:fldCharType="begin"/>
            </w:r>
            <w:r w:rsidR="0065290A">
              <w:rPr>
                <w:noProof/>
                <w:webHidden/>
              </w:rPr>
              <w:instrText xml:space="preserve"> PAGEREF _Toc30823553 \h </w:instrText>
            </w:r>
            <w:r w:rsidR="0065290A">
              <w:rPr>
                <w:noProof/>
                <w:webHidden/>
              </w:rPr>
            </w:r>
            <w:r w:rsidR="0065290A">
              <w:rPr>
                <w:noProof/>
                <w:webHidden/>
              </w:rPr>
              <w:fldChar w:fldCharType="separate"/>
            </w:r>
            <w:r w:rsidR="0065290A">
              <w:rPr>
                <w:noProof/>
                <w:webHidden/>
              </w:rPr>
              <w:t>40</w:t>
            </w:r>
            <w:r w:rsidR="0065290A">
              <w:rPr>
                <w:noProof/>
                <w:webHidden/>
              </w:rPr>
              <w:fldChar w:fldCharType="end"/>
            </w:r>
          </w:hyperlink>
        </w:p>
        <w:p w:rsidR="0065290A" w:rsidRPr="000741E8" w:rsidRDefault="0065290A" w:rsidP="0065290A">
          <w:pPr>
            <w:rPr>
              <w:rFonts w:ascii="Times New Roman" w:hAnsi="Times New Roman"/>
              <w:sz w:val="24"/>
              <w:szCs w:val="24"/>
            </w:rPr>
          </w:pPr>
          <w:r w:rsidRPr="000741E8">
            <w:rPr>
              <w:rFonts w:ascii="Times New Roman" w:hAnsi="Times New Roman"/>
              <w:b/>
              <w:bCs/>
              <w:sz w:val="24"/>
              <w:szCs w:val="24"/>
              <w:lang w:val="es-ES"/>
            </w:rPr>
            <w:fldChar w:fldCharType="end"/>
          </w:r>
        </w:p>
      </w:sdtContent>
    </w:sdt>
    <w:p w:rsidR="0065290A" w:rsidRPr="000741E8" w:rsidRDefault="0065290A" w:rsidP="0065290A">
      <w:pPr>
        <w:spacing w:after="0" w:line="240" w:lineRule="auto"/>
        <w:rPr>
          <w:rFonts w:ascii="Times New Roman" w:hAnsi="Times New Roman"/>
          <w:b/>
          <w:sz w:val="24"/>
          <w:szCs w:val="24"/>
        </w:rPr>
      </w:pPr>
      <w:r w:rsidRPr="000741E8">
        <w:rPr>
          <w:rFonts w:ascii="Times New Roman" w:hAnsi="Times New Roman"/>
          <w:b/>
          <w:sz w:val="24"/>
          <w:szCs w:val="24"/>
        </w:rPr>
        <w:br w:type="page"/>
      </w:r>
    </w:p>
    <w:p w:rsidR="0065290A" w:rsidRPr="000741E8" w:rsidRDefault="0065290A" w:rsidP="0065290A">
      <w:pPr>
        <w:rPr>
          <w:rFonts w:ascii="Times New Roman" w:hAnsi="Times New Roman"/>
          <w:sz w:val="24"/>
          <w:szCs w:val="24"/>
        </w:rPr>
      </w:pPr>
    </w:p>
    <w:p w:rsidR="0065290A" w:rsidRPr="000741E8" w:rsidRDefault="0065290A" w:rsidP="0065290A">
      <w:pPr>
        <w:pStyle w:val="Ttulo1"/>
        <w:rPr>
          <w:rFonts w:cs="Times New Roman"/>
          <w:sz w:val="24"/>
          <w:szCs w:val="24"/>
          <w:lang w:val="es-419"/>
        </w:rPr>
      </w:pPr>
      <w:bookmarkStart w:id="0" w:name="_Toc30823459"/>
      <w:r w:rsidRPr="000741E8">
        <w:rPr>
          <w:rFonts w:cs="Times New Roman"/>
          <w:sz w:val="24"/>
          <w:szCs w:val="24"/>
        </w:rPr>
        <w:t xml:space="preserve">NOTA 1. </w:t>
      </w:r>
      <w:r w:rsidRPr="000741E8">
        <w:rPr>
          <w:rFonts w:cs="Times New Roman"/>
          <w:sz w:val="24"/>
          <w:szCs w:val="24"/>
          <w:lang w:val="es-419"/>
        </w:rPr>
        <w:t>CONTRALORIA DE BOGOTA D.C.</w:t>
      </w:r>
      <w:bookmarkEnd w:id="0"/>
    </w:p>
    <w:p w:rsidR="0065290A" w:rsidRPr="000741E8" w:rsidRDefault="0065290A" w:rsidP="0065290A">
      <w:pPr>
        <w:pStyle w:val="Prrafodelista"/>
        <w:spacing w:after="0" w:line="240" w:lineRule="auto"/>
        <w:ind w:left="360"/>
        <w:jc w:val="both"/>
        <w:rPr>
          <w:rFonts w:ascii="Times New Roman" w:hAnsi="Times New Roman"/>
          <w:sz w:val="24"/>
          <w:szCs w:val="24"/>
        </w:rPr>
      </w:pPr>
    </w:p>
    <w:p w:rsidR="0065290A" w:rsidRPr="000741E8" w:rsidRDefault="0065290A" w:rsidP="0065290A">
      <w:pPr>
        <w:pStyle w:val="Ttulo2"/>
        <w:numPr>
          <w:ilvl w:val="1"/>
          <w:numId w:val="12"/>
        </w:numPr>
        <w:ind w:left="567" w:hanging="567"/>
        <w:rPr>
          <w:rFonts w:cs="Times New Roman"/>
          <w:szCs w:val="24"/>
        </w:rPr>
      </w:pPr>
      <w:bookmarkStart w:id="1" w:name="_Toc30823460"/>
      <w:r w:rsidRPr="000741E8">
        <w:rPr>
          <w:rFonts w:cs="Times New Roman"/>
          <w:szCs w:val="24"/>
        </w:rPr>
        <w:t>Identificación y funciones</w:t>
      </w:r>
      <w:bookmarkEnd w:id="1"/>
    </w:p>
    <w:p w:rsidR="0065290A" w:rsidRPr="000741E8" w:rsidRDefault="0065290A" w:rsidP="0065290A">
      <w:pPr>
        <w:pStyle w:val="Prrafodelista"/>
        <w:spacing w:after="0" w:line="240" w:lineRule="auto"/>
        <w:ind w:left="567"/>
        <w:jc w:val="both"/>
        <w:rPr>
          <w:rFonts w:ascii="Times New Roman" w:hAnsi="Times New Roman"/>
          <w:sz w:val="24"/>
          <w:szCs w:val="24"/>
        </w:rPr>
      </w:pPr>
    </w:p>
    <w:p w:rsidR="0065290A" w:rsidRPr="000741E8" w:rsidRDefault="0065290A" w:rsidP="0065290A">
      <w:pPr>
        <w:spacing w:line="240" w:lineRule="auto"/>
        <w:ind w:left="708"/>
        <w:jc w:val="both"/>
        <w:rPr>
          <w:rFonts w:ascii="Times New Roman" w:hAnsi="Times New Roman"/>
          <w:color w:val="000000"/>
          <w:sz w:val="24"/>
          <w:szCs w:val="24"/>
        </w:rPr>
      </w:pPr>
      <w:r w:rsidRPr="000741E8">
        <w:rPr>
          <w:rFonts w:ascii="Times New Roman" w:hAnsi="Times New Roman"/>
          <w:color w:val="000000"/>
          <w:sz w:val="24"/>
          <w:szCs w:val="24"/>
        </w:rPr>
        <w:t>1.1</w:t>
      </w:r>
      <w:r w:rsidRPr="000741E8">
        <w:rPr>
          <w:rFonts w:ascii="Times New Roman" w:hAnsi="Times New Roman"/>
          <w:color w:val="000000"/>
          <w:sz w:val="24"/>
          <w:szCs w:val="24"/>
          <w:lang w:val="es-419"/>
        </w:rPr>
        <w:t>.1</w:t>
      </w:r>
      <w:r w:rsidRPr="000741E8">
        <w:rPr>
          <w:rFonts w:ascii="Times New Roman" w:hAnsi="Times New Roman"/>
          <w:color w:val="000000"/>
          <w:sz w:val="24"/>
          <w:szCs w:val="24"/>
        </w:rPr>
        <w:t xml:space="preserve">  La Contraloría de Bogotá D.C. es un Organismo de carácter técnico, dotado de autonomía administrativa y presupuestal, </w:t>
      </w:r>
      <w:r w:rsidRPr="000741E8">
        <w:rPr>
          <w:rFonts w:ascii="Times New Roman" w:hAnsi="Times New Roman"/>
          <w:color w:val="000000"/>
          <w:sz w:val="24"/>
          <w:szCs w:val="24"/>
          <w:lang w:val="es-419"/>
        </w:rPr>
        <w:t xml:space="preserve"> </w:t>
      </w:r>
      <w:r w:rsidRPr="000741E8">
        <w:rPr>
          <w:rFonts w:ascii="Times New Roman" w:hAnsi="Times New Roman"/>
          <w:color w:val="000000"/>
          <w:sz w:val="24"/>
          <w:szCs w:val="24"/>
        </w:rPr>
        <w:t>la  cual le corresponde la vigilancia  de la gestión fiscal del Distrito Capital y de los particulares que manejen fondos y bienes del mismo, en los términos y condiciones previstos en la Constitución Política, las leyes y los acuerdos.</w:t>
      </w:r>
    </w:p>
    <w:p w:rsidR="0065290A" w:rsidRPr="000741E8" w:rsidRDefault="0065290A" w:rsidP="0065290A">
      <w:pPr>
        <w:spacing w:line="240" w:lineRule="auto"/>
        <w:ind w:left="708"/>
        <w:jc w:val="both"/>
        <w:rPr>
          <w:rFonts w:ascii="Times New Roman" w:hAnsi="Times New Roman"/>
          <w:color w:val="000000"/>
          <w:sz w:val="24"/>
          <w:szCs w:val="24"/>
        </w:rPr>
      </w:pPr>
      <w:r w:rsidRPr="000741E8">
        <w:rPr>
          <w:rFonts w:ascii="Times New Roman" w:hAnsi="Times New Roman"/>
          <w:color w:val="000000"/>
          <w:sz w:val="24"/>
          <w:szCs w:val="24"/>
        </w:rPr>
        <w:t>Fue creada mediante el Acuerdo No. 23 de 1929; reorganizada por el Acuerdo 13 de 1975, reestructurada según Acuerdos 16 de 1993, 26 de 2001, 361 del 6 de enero de 2009, 519 del 26 de diciembre de 2012, 658 de 2016</w:t>
      </w:r>
      <w:r w:rsidRPr="000741E8">
        <w:rPr>
          <w:rFonts w:ascii="Times New Roman" w:hAnsi="Times New Roman"/>
          <w:color w:val="000000"/>
          <w:sz w:val="24"/>
          <w:szCs w:val="24"/>
          <w:lang w:val="es-419"/>
        </w:rPr>
        <w:t xml:space="preserve">, </w:t>
      </w:r>
      <w:r w:rsidRPr="000741E8">
        <w:rPr>
          <w:rFonts w:ascii="Times New Roman" w:hAnsi="Times New Roman"/>
          <w:color w:val="000000"/>
          <w:sz w:val="24"/>
          <w:szCs w:val="24"/>
        </w:rPr>
        <w:t>664 de 201</w:t>
      </w:r>
      <w:r w:rsidRPr="000741E8">
        <w:rPr>
          <w:rFonts w:ascii="Times New Roman" w:hAnsi="Times New Roman"/>
          <w:color w:val="000000"/>
          <w:sz w:val="24"/>
          <w:szCs w:val="24"/>
          <w:lang w:val="es-419"/>
        </w:rPr>
        <w:t xml:space="preserve"> y 747 de octubre 10 de 2019</w:t>
      </w:r>
      <w:r w:rsidRPr="000741E8">
        <w:rPr>
          <w:rFonts w:ascii="Times New Roman" w:hAnsi="Times New Roman"/>
          <w:b/>
          <w:sz w:val="24"/>
          <w:szCs w:val="24"/>
        </w:rPr>
        <w:t xml:space="preserve">. </w:t>
      </w:r>
    </w:p>
    <w:p w:rsidR="0065290A" w:rsidRPr="000741E8" w:rsidRDefault="0065290A" w:rsidP="0065290A">
      <w:pPr>
        <w:spacing w:line="240" w:lineRule="auto"/>
        <w:ind w:left="708"/>
        <w:jc w:val="both"/>
        <w:rPr>
          <w:rFonts w:ascii="Times New Roman" w:hAnsi="Times New Roman"/>
          <w:sz w:val="24"/>
          <w:szCs w:val="24"/>
        </w:rPr>
      </w:pPr>
      <w:r w:rsidRPr="000741E8">
        <w:rPr>
          <w:rFonts w:ascii="Times New Roman" w:hAnsi="Times New Roman"/>
          <w:color w:val="000000"/>
          <w:sz w:val="24"/>
          <w:szCs w:val="24"/>
        </w:rPr>
        <w:t>La Contraloría de Bogotá D.C. se encuentra ubicada en la Carrera 32ª No. 26ª-10 Edificio de la Lotería de Bogotá, pisos 1 al 17 en la ciudad de Bogotá.</w:t>
      </w:r>
    </w:p>
    <w:p w:rsidR="0065290A" w:rsidRPr="000741E8" w:rsidRDefault="0065290A" w:rsidP="0065290A">
      <w:pPr>
        <w:pStyle w:val="Prrafodelista"/>
        <w:spacing w:after="0" w:line="240" w:lineRule="auto"/>
        <w:ind w:left="567"/>
        <w:jc w:val="both"/>
        <w:rPr>
          <w:rFonts w:ascii="Times New Roman" w:hAnsi="Times New Roman"/>
          <w:sz w:val="24"/>
          <w:szCs w:val="24"/>
        </w:rPr>
      </w:pPr>
    </w:p>
    <w:p w:rsidR="0065290A" w:rsidRPr="000741E8" w:rsidRDefault="0065290A" w:rsidP="0065290A">
      <w:pPr>
        <w:pStyle w:val="Ttulo2"/>
        <w:numPr>
          <w:ilvl w:val="1"/>
          <w:numId w:val="12"/>
        </w:numPr>
        <w:ind w:left="567" w:hanging="567"/>
        <w:rPr>
          <w:rFonts w:cs="Times New Roman"/>
          <w:szCs w:val="24"/>
        </w:rPr>
      </w:pPr>
      <w:bookmarkStart w:id="2" w:name="_Toc30823461"/>
      <w:r w:rsidRPr="000741E8">
        <w:rPr>
          <w:rFonts w:cs="Times New Roman"/>
          <w:szCs w:val="24"/>
        </w:rPr>
        <w:t>Declaración de cumplimiento del marco normativo y limitaciones</w:t>
      </w:r>
      <w:bookmarkEnd w:id="2"/>
    </w:p>
    <w:p w:rsidR="0065290A" w:rsidRPr="000741E8" w:rsidRDefault="0065290A" w:rsidP="0065290A">
      <w:pPr>
        <w:pStyle w:val="Prrafodelista"/>
        <w:spacing w:after="0" w:line="240" w:lineRule="auto"/>
        <w:ind w:left="567"/>
        <w:jc w:val="both"/>
        <w:rPr>
          <w:rFonts w:ascii="Times New Roman" w:hAnsi="Times New Roman"/>
          <w:sz w:val="24"/>
          <w:szCs w:val="24"/>
        </w:rPr>
      </w:pPr>
    </w:p>
    <w:p w:rsidR="0065290A" w:rsidRPr="000741E8" w:rsidRDefault="0065290A" w:rsidP="0065290A">
      <w:pPr>
        <w:pStyle w:val="Prrafodelista"/>
        <w:spacing w:after="0" w:line="240" w:lineRule="auto"/>
        <w:jc w:val="both"/>
        <w:rPr>
          <w:rFonts w:ascii="Times New Roman" w:hAnsi="Times New Roman"/>
          <w:sz w:val="24"/>
          <w:szCs w:val="24"/>
        </w:rPr>
      </w:pPr>
      <w:r w:rsidRPr="000741E8">
        <w:rPr>
          <w:rFonts w:ascii="Times New Roman" w:hAnsi="Times New Roman"/>
          <w:color w:val="000000"/>
          <w:sz w:val="24"/>
          <w:szCs w:val="24"/>
        </w:rPr>
        <w:t>En cumplimiento del Marco Normativo le es aplicable la Resolución 533 de 2015 y 693 de 2016 de Entidades de Gobierno que se encuentran bajo el ámbito del Régimen de Contabilidad Publica de igual forma se da aplicación a las políticas establecidas por Bogotá como Ente Contable Publico adoptadas mediante el Manual de políticas contables Resolución S</w:t>
      </w:r>
      <w:r w:rsidRPr="000741E8">
        <w:rPr>
          <w:rFonts w:ascii="Times New Roman" w:hAnsi="Times New Roman"/>
          <w:color w:val="000000"/>
          <w:sz w:val="24"/>
          <w:szCs w:val="24"/>
          <w:lang w:val="es-419"/>
        </w:rPr>
        <w:t>D</w:t>
      </w:r>
      <w:r w:rsidRPr="000741E8">
        <w:rPr>
          <w:rFonts w:ascii="Times New Roman" w:hAnsi="Times New Roman"/>
          <w:color w:val="000000"/>
          <w:sz w:val="24"/>
          <w:szCs w:val="24"/>
        </w:rPr>
        <w:t>H 000068 de 2018.</w:t>
      </w:r>
      <w:bookmarkStart w:id="3" w:name="_GoBack"/>
      <w:bookmarkEnd w:id="3"/>
    </w:p>
    <w:p w:rsidR="0065290A" w:rsidRPr="000741E8" w:rsidRDefault="0065290A" w:rsidP="0065290A">
      <w:pPr>
        <w:pStyle w:val="Ttulo2"/>
        <w:numPr>
          <w:ilvl w:val="1"/>
          <w:numId w:val="12"/>
        </w:numPr>
        <w:ind w:left="567" w:hanging="567"/>
        <w:rPr>
          <w:rFonts w:cs="Times New Roman"/>
          <w:szCs w:val="24"/>
        </w:rPr>
      </w:pPr>
      <w:bookmarkStart w:id="4" w:name="_Toc30823462"/>
      <w:r w:rsidRPr="000741E8">
        <w:rPr>
          <w:rFonts w:cs="Times New Roman"/>
          <w:szCs w:val="24"/>
        </w:rPr>
        <w:t>Base normativa y periodo cubierto</w:t>
      </w:r>
      <w:bookmarkEnd w:id="4"/>
    </w:p>
    <w:p w:rsidR="0065290A" w:rsidRPr="000741E8" w:rsidRDefault="0065290A" w:rsidP="0065290A">
      <w:pPr>
        <w:pStyle w:val="Prrafodelista"/>
        <w:spacing w:after="0" w:line="240" w:lineRule="auto"/>
        <w:ind w:left="567"/>
        <w:jc w:val="both"/>
        <w:rPr>
          <w:rFonts w:ascii="Times New Roman" w:hAnsi="Times New Roman"/>
          <w:b/>
          <w:sz w:val="24"/>
          <w:szCs w:val="24"/>
        </w:rPr>
      </w:pPr>
    </w:p>
    <w:p w:rsidR="0065290A" w:rsidRPr="000741E8" w:rsidRDefault="0065290A" w:rsidP="0065290A">
      <w:pPr>
        <w:spacing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Los Estados Financieros presentados son los relacionados a continuación y comprenden el periodo de enero a diciembre de 2019, preparados bajo el marco normativo Resolución 533 de 2015 y 693 de 2016:</w:t>
      </w:r>
    </w:p>
    <w:p w:rsidR="0065290A" w:rsidRPr="000741E8" w:rsidRDefault="0065290A" w:rsidP="0065290A">
      <w:pPr>
        <w:spacing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Estado de Situación Financiera</w:t>
      </w:r>
    </w:p>
    <w:p w:rsidR="0065290A" w:rsidRPr="000741E8" w:rsidRDefault="0065290A" w:rsidP="0065290A">
      <w:pPr>
        <w:spacing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Estado de Resultados</w:t>
      </w:r>
    </w:p>
    <w:p w:rsidR="0065290A" w:rsidRPr="000741E8" w:rsidRDefault="0065290A" w:rsidP="0065290A">
      <w:pPr>
        <w:spacing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Estado de Cambios en el Patrimonio</w:t>
      </w:r>
    </w:p>
    <w:p w:rsidR="0065290A" w:rsidRPr="000741E8" w:rsidRDefault="0065290A" w:rsidP="0065290A">
      <w:pPr>
        <w:spacing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Estado de Flujos de Efectivo y</w:t>
      </w:r>
    </w:p>
    <w:p w:rsidR="0065290A" w:rsidRPr="000741E8" w:rsidRDefault="0065290A" w:rsidP="0065290A">
      <w:pPr>
        <w:spacing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 xml:space="preserve">Notas a los estados financieros </w:t>
      </w:r>
    </w:p>
    <w:p w:rsidR="0065290A" w:rsidRPr="000741E8" w:rsidRDefault="0065290A" w:rsidP="0065290A">
      <w:pPr>
        <w:spacing w:line="240" w:lineRule="auto"/>
        <w:ind w:left="705"/>
        <w:jc w:val="both"/>
        <w:rPr>
          <w:rFonts w:ascii="Times New Roman" w:hAnsi="Times New Roman"/>
          <w:sz w:val="24"/>
          <w:szCs w:val="24"/>
          <w:lang w:val="es-419"/>
        </w:rPr>
      </w:pPr>
      <w:r w:rsidRPr="000741E8">
        <w:rPr>
          <w:rFonts w:ascii="Times New Roman" w:hAnsi="Times New Roman"/>
          <w:sz w:val="24"/>
          <w:szCs w:val="24"/>
          <w:lang w:val="es-419"/>
        </w:rPr>
        <w:t>Para la vigencia de 2019 el estado de flujo de efectivo será elaborado por ECP Bogotá D.C.</w:t>
      </w:r>
    </w:p>
    <w:p w:rsidR="0065290A" w:rsidRPr="000741E8" w:rsidRDefault="0065290A" w:rsidP="0065290A">
      <w:pPr>
        <w:pStyle w:val="Prrafodelista"/>
        <w:spacing w:after="0" w:line="240" w:lineRule="auto"/>
        <w:ind w:left="567" w:firstLine="141"/>
        <w:rPr>
          <w:rFonts w:ascii="Times New Roman" w:hAnsi="Times New Roman"/>
          <w:b/>
          <w:sz w:val="24"/>
          <w:szCs w:val="24"/>
          <w:lang w:val="es-419"/>
        </w:rPr>
      </w:pPr>
    </w:p>
    <w:p w:rsidR="0065290A" w:rsidRPr="000741E8" w:rsidRDefault="0065290A" w:rsidP="0065290A">
      <w:pPr>
        <w:pStyle w:val="Ttulo2"/>
        <w:numPr>
          <w:ilvl w:val="1"/>
          <w:numId w:val="12"/>
        </w:numPr>
        <w:ind w:left="567" w:hanging="567"/>
        <w:rPr>
          <w:rFonts w:cs="Times New Roman"/>
          <w:szCs w:val="24"/>
        </w:rPr>
      </w:pPr>
      <w:bookmarkStart w:id="5" w:name="_Toc30823463"/>
      <w:r w:rsidRPr="000741E8">
        <w:rPr>
          <w:rFonts w:cs="Times New Roman"/>
          <w:szCs w:val="24"/>
        </w:rPr>
        <w:lastRenderedPageBreak/>
        <w:t>Forma de Organización y/o Cobertura</w:t>
      </w:r>
      <w:bookmarkEnd w:id="5"/>
    </w:p>
    <w:p w:rsidR="0065290A" w:rsidRPr="000741E8" w:rsidRDefault="0065290A" w:rsidP="0065290A">
      <w:pPr>
        <w:pStyle w:val="Prrafodelista"/>
        <w:spacing w:after="0" w:line="240" w:lineRule="auto"/>
        <w:ind w:left="567"/>
        <w:jc w:val="both"/>
        <w:rPr>
          <w:rFonts w:ascii="Times New Roman" w:hAnsi="Times New Roman"/>
          <w:b/>
          <w:sz w:val="24"/>
          <w:szCs w:val="24"/>
        </w:rPr>
      </w:pPr>
    </w:p>
    <w:p w:rsidR="0065290A" w:rsidRPr="000741E8" w:rsidRDefault="0065290A" w:rsidP="0065290A">
      <w:pPr>
        <w:pStyle w:val="Default"/>
        <w:ind w:left="708"/>
        <w:jc w:val="both"/>
        <w:rPr>
          <w:rFonts w:ascii="Times New Roman" w:hAnsi="Times New Roman" w:cs="Times New Roman"/>
          <w:lang w:val="es-419"/>
        </w:rPr>
      </w:pPr>
      <w:r w:rsidRPr="000741E8">
        <w:rPr>
          <w:rFonts w:ascii="Times New Roman" w:hAnsi="Times New Roman" w:cs="Times New Roman"/>
          <w:lang w:val="es-419"/>
        </w:rPr>
        <w:t>Dentro del objetivo de la Subdirección Financiera se encuentra e</w:t>
      </w:r>
      <w:proofErr w:type="spellStart"/>
      <w:r w:rsidRPr="000741E8">
        <w:rPr>
          <w:rFonts w:ascii="Times New Roman" w:hAnsi="Times New Roman" w:cs="Times New Roman"/>
        </w:rPr>
        <w:t>stablecer</w:t>
      </w:r>
      <w:proofErr w:type="spellEnd"/>
      <w:r w:rsidRPr="000741E8">
        <w:rPr>
          <w:rFonts w:ascii="Times New Roman" w:hAnsi="Times New Roman" w:cs="Times New Roman"/>
        </w:rPr>
        <w:t xml:space="preserve"> las actividades que deben desarrollarse para reconocer contablemente los hechos financieros y económicos de la Contraloría </w:t>
      </w:r>
      <w:r w:rsidRPr="000741E8">
        <w:rPr>
          <w:rFonts w:ascii="Times New Roman" w:hAnsi="Times New Roman" w:cs="Times New Roman"/>
          <w:lang w:val="es-419"/>
        </w:rPr>
        <w:t xml:space="preserve">de Bogotá, </w:t>
      </w:r>
      <w:r w:rsidRPr="000741E8">
        <w:rPr>
          <w:rFonts w:ascii="Times New Roman" w:hAnsi="Times New Roman" w:cs="Times New Roman"/>
        </w:rPr>
        <w:t xml:space="preserve">con el fin de generar los estados financieros que reflejen las características cualitativas de la información financiera de acuerdo con el </w:t>
      </w:r>
      <w:r w:rsidRPr="000741E8">
        <w:rPr>
          <w:rFonts w:ascii="Times New Roman" w:hAnsi="Times New Roman" w:cs="Times New Roman"/>
          <w:lang w:val="es-419"/>
        </w:rPr>
        <w:t>marco normativo aplicado.</w:t>
      </w:r>
    </w:p>
    <w:p w:rsidR="0065290A" w:rsidRPr="000741E8" w:rsidRDefault="0065290A" w:rsidP="0065290A">
      <w:pPr>
        <w:pStyle w:val="Default"/>
        <w:ind w:left="708"/>
        <w:jc w:val="both"/>
        <w:rPr>
          <w:rFonts w:ascii="Times New Roman" w:hAnsi="Times New Roman" w:cs="Times New Roman"/>
          <w:lang w:val="es-419"/>
        </w:rPr>
      </w:pPr>
    </w:p>
    <w:p w:rsidR="0065290A" w:rsidRPr="000741E8" w:rsidRDefault="0065290A" w:rsidP="0065290A">
      <w:pPr>
        <w:pStyle w:val="Default"/>
        <w:ind w:left="708"/>
        <w:jc w:val="both"/>
        <w:rPr>
          <w:rFonts w:ascii="Times New Roman" w:hAnsi="Times New Roman" w:cs="Times New Roman"/>
          <w:lang w:val="es-419"/>
        </w:rPr>
      </w:pPr>
      <w:r w:rsidRPr="000741E8">
        <w:rPr>
          <w:rFonts w:ascii="Times New Roman" w:hAnsi="Times New Roman" w:cs="Times New Roman"/>
          <w:lang w:val="es-419"/>
        </w:rPr>
        <w:t>La Contraloría de Bogotá forma parte del Balance de la Entidad Contable Publica Bogotá  y presenta información contable a través del aplicativo Bogotá consolida en los plazos y formatos determinados para la entrega de la información a la Dirección Distrital de Contabilidad, esta información es agregada y reportada a la Contaduría General de la Nación por la Entidad Contable Publica Bogotá.</w:t>
      </w:r>
    </w:p>
    <w:p w:rsidR="0065290A" w:rsidRPr="000741E8" w:rsidRDefault="0065290A" w:rsidP="0065290A">
      <w:pPr>
        <w:pStyle w:val="Default"/>
        <w:ind w:left="708"/>
        <w:jc w:val="both"/>
        <w:rPr>
          <w:rFonts w:ascii="Times New Roman" w:hAnsi="Times New Roman" w:cs="Times New Roman"/>
          <w:lang w:val="es-419"/>
        </w:rPr>
      </w:pPr>
    </w:p>
    <w:p w:rsidR="0065290A" w:rsidRPr="000741E8" w:rsidRDefault="0065290A" w:rsidP="0065290A">
      <w:pPr>
        <w:pStyle w:val="Default"/>
        <w:ind w:left="708"/>
        <w:jc w:val="both"/>
        <w:rPr>
          <w:rFonts w:ascii="Times New Roman" w:hAnsi="Times New Roman" w:cs="Times New Roman"/>
          <w:lang w:val="es-419"/>
        </w:rPr>
      </w:pPr>
      <w:r w:rsidRPr="000741E8">
        <w:rPr>
          <w:rFonts w:ascii="Times New Roman" w:hAnsi="Times New Roman" w:cs="Times New Roman"/>
          <w:lang w:val="es-419"/>
        </w:rPr>
        <w:t>De igual forma se presenta información contable en los plazos y formatos establecidos a la Auditoria Fiscal ante la Contraloría de Bogotá.</w:t>
      </w:r>
    </w:p>
    <w:p w:rsidR="0065290A" w:rsidRPr="000741E8" w:rsidRDefault="0065290A" w:rsidP="0065290A">
      <w:pPr>
        <w:pStyle w:val="Prrafodelista"/>
        <w:spacing w:after="0" w:line="240" w:lineRule="auto"/>
        <w:ind w:left="567"/>
        <w:jc w:val="both"/>
        <w:rPr>
          <w:rFonts w:ascii="Times New Roman" w:hAnsi="Times New Roman"/>
          <w:sz w:val="24"/>
          <w:szCs w:val="24"/>
          <w:lang w:val="es-419"/>
        </w:rPr>
      </w:pPr>
    </w:p>
    <w:p w:rsidR="0065290A" w:rsidRPr="000741E8" w:rsidRDefault="0065290A" w:rsidP="0065290A">
      <w:pPr>
        <w:pStyle w:val="Prrafodelista"/>
        <w:spacing w:after="0" w:line="240" w:lineRule="auto"/>
        <w:ind w:left="0" w:firstLine="360"/>
        <w:rPr>
          <w:rFonts w:ascii="Times New Roman" w:hAnsi="Times New Roman"/>
          <w:b/>
          <w:sz w:val="24"/>
          <w:szCs w:val="24"/>
        </w:rPr>
      </w:pPr>
    </w:p>
    <w:p w:rsidR="0065290A" w:rsidRPr="000741E8" w:rsidRDefault="0065290A" w:rsidP="0065290A">
      <w:pPr>
        <w:pStyle w:val="Ttulo1"/>
        <w:rPr>
          <w:rFonts w:cs="Times New Roman"/>
          <w:sz w:val="24"/>
          <w:szCs w:val="24"/>
        </w:rPr>
      </w:pPr>
      <w:bookmarkStart w:id="6" w:name="_Toc30823464"/>
      <w:r w:rsidRPr="000741E8">
        <w:rPr>
          <w:rFonts w:cs="Times New Roman"/>
          <w:sz w:val="24"/>
          <w:szCs w:val="24"/>
        </w:rPr>
        <w:t>NOTA 2. BASES DE MEDICIÓN Y PRESENTACIÓN UTILIZADAS</w:t>
      </w:r>
      <w:bookmarkEnd w:id="6"/>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2"/>
        <w:numPr>
          <w:ilvl w:val="1"/>
          <w:numId w:val="13"/>
        </w:numPr>
        <w:ind w:left="567" w:hanging="567"/>
        <w:rPr>
          <w:rFonts w:cs="Times New Roman"/>
          <w:szCs w:val="24"/>
        </w:rPr>
      </w:pPr>
      <w:bookmarkStart w:id="7" w:name="_Toc30823465"/>
      <w:r w:rsidRPr="000741E8">
        <w:rPr>
          <w:rFonts w:cs="Times New Roman"/>
          <w:szCs w:val="24"/>
        </w:rPr>
        <w:t>Bases de medición</w:t>
      </w:r>
      <w:bookmarkEnd w:id="7"/>
    </w:p>
    <w:p w:rsidR="0065290A" w:rsidRPr="000741E8" w:rsidRDefault="0065290A" w:rsidP="0065290A">
      <w:pPr>
        <w:pStyle w:val="Prrafodelista"/>
        <w:spacing w:after="0" w:line="240" w:lineRule="auto"/>
        <w:ind w:left="567"/>
        <w:jc w:val="both"/>
        <w:rPr>
          <w:rFonts w:ascii="Times New Roman" w:hAnsi="Times New Roman"/>
          <w:b/>
          <w:sz w:val="24"/>
          <w:szCs w:val="24"/>
        </w:rPr>
      </w:pPr>
    </w:p>
    <w:p w:rsidR="0065290A" w:rsidRPr="000741E8" w:rsidRDefault="0065290A" w:rsidP="0065290A">
      <w:pPr>
        <w:spacing w:after="0" w:line="240" w:lineRule="auto"/>
        <w:ind w:firstLine="708"/>
        <w:jc w:val="both"/>
        <w:rPr>
          <w:rFonts w:ascii="Times New Roman" w:hAnsi="Times New Roman"/>
          <w:sz w:val="24"/>
          <w:szCs w:val="24"/>
          <w:lang w:val="es-419"/>
        </w:rPr>
      </w:pPr>
      <w:r w:rsidRPr="000741E8">
        <w:rPr>
          <w:rFonts w:ascii="Times New Roman" w:hAnsi="Times New Roman"/>
          <w:sz w:val="24"/>
          <w:szCs w:val="24"/>
          <w:lang w:val="es-419"/>
        </w:rPr>
        <w:t>Medición de activos al  costo, la Propiedad Planta y Equipo se mide al costo.</w:t>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ab/>
      </w:r>
    </w:p>
    <w:p w:rsidR="0065290A" w:rsidRPr="000741E8" w:rsidRDefault="0065290A" w:rsidP="0065290A">
      <w:pPr>
        <w:spacing w:after="0" w:line="240" w:lineRule="auto"/>
        <w:ind w:left="705"/>
        <w:jc w:val="both"/>
        <w:rPr>
          <w:rFonts w:ascii="Times New Roman" w:hAnsi="Times New Roman"/>
          <w:sz w:val="24"/>
          <w:szCs w:val="24"/>
        </w:rPr>
      </w:pPr>
      <w:r w:rsidRPr="000741E8">
        <w:rPr>
          <w:rFonts w:ascii="Times New Roman" w:hAnsi="Times New Roman"/>
          <w:sz w:val="24"/>
          <w:szCs w:val="24"/>
          <w:lang w:val="es-419"/>
        </w:rPr>
        <w:tab/>
        <w:t xml:space="preserve">En cuanto al Reconocimiento de Activos estos </w:t>
      </w:r>
      <w:r w:rsidRPr="000741E8">
        <w:rPr>
          <w:rFonts w:ascii="Times New Roman" w:hAnsi="Times New Roman"/>
          <w:sz w:val="24"/>
          <w:szCs w:val="24"/>
        </w:rPr>
        <w:t>corresponderán a aquellos bienes propiedad, planta y equipo e intangibles que su costo de adquisición sea = ò &gt; a 2 SMMLV.</w:t>
      </w:r>
    </w:p>
    <w:p w:rsidR="0065290A" w:rsidRPr="000741E8" w:rsidRDefault="0065290A" w:rsidP="0065290A">
      <w:pPr>
        <w:spacing w:after="0" w:line="240" w:lineRule="auto"/>
        <w:ind w:left="705"/>
        <w:jc w:val="both"/>
        <w:rPr>
          <w:rFonts w:ascii="Times New Roman" w:hAnsi="Times New Roman"/>
          <w:b/>
          <w:sz w:val="24"/>
          <w:szCs w:val="24"/>
        </w:rPr>
      </w:pPr>
    </w:p>
    <w:p w:rsidR="0065290A" w:rsidRPr="000741E8" w:rsidRDefault="0065290A" w:rsidP="0065290A">
      <w:pPr>
        <w:pStyle w:val="Prrafodelista"/>
        <w:spacing w:after="0" w:line="240" w:lineRule="auto"/>
        <w:ind w:left="705"/>
        <w:jc w:val="both"/>
        <w:rPr>
          <w:rFonts w:ascii="Times New Roman" w:hAnsi="Times New Roman"/>
          <w:sz w:val="24"/>
          <w:szCs w:val="24"/>
        </w:rPr>
      </w:pPr>
      <w:r w:rsidRPr="000741E8">
        <w:rPr>
          <w:rFonts w:ascii="Times New Roman" w:hAnsi="Times New Roman"/>
          <w:sz w:val="24"/>
          <w:szCs w:val="24"/>
        </w:rPr>
        <w:t>Existirán bienes considerados de control administrativo con control contable registrados en cuentas de orden (</w:t>
      </w:r>
      <w:r w:rsidRPr="000741E8">
        <w:rPr>
          <w:rFonts w:ascii="Times New Roman" w:hAnsi="Times New Roman"/>
          <w:b/>
          <w:sz w:val="24"/>
          <w:szCs w:val="24"/>
        </w:rPr>
        <w:t>CONSUMO CONTROLADO</w:t>
      </w:r>
      <w:r w:rsidRPr="000741E8">
        <w:rPr>
          <w:rFonts w:ascii="Times New Roman" w:hAnsi="Times New Roman"/>
          <w:sz w:val="24"/>
          <w:szCs w:val="24"/>
        </w:rPr>
        <w:t>) los cuales corresponden a bienes cuyo costo histórico o avaluó sea &lt; 2 SM.M.L.V.</w:t>
      </w:r>
    </w:p>
    <w:p w:rsidR="0065290A" w:rsidRPr="000741E8" w:rsidRDefault="0065290A" w:rsidP="0065290A">
      <w:pPr>
        <w:pStyle w:val="Prrafodelista"/>
        <w:spacing w:after="0" w:line="240" w:lineRule="auto"/>
        <w:ind w:left="705"/>
        <w:jc w:val="both"/>
        <w:rPr>
          <w:rFonts w:ascii="Times New Roman" w:hAnsi="Times New Roman"/>
          <w:sz w:val="24"/>
          <w:szCs w:val="24"/>
        </w:rPr>
      </w:pPr>
    </w:p>
    <w:p w:rsidR="0065290A" w:rsidRPr="000741E8" w:rsidRDefault="0065290A" w:rsidP="0065290A">
      <w:pPr>
        <w:pStyle w:val="Prrafodelista"/>
        <w:spacing w:after="0" w:line="240" w:lineRule="auto"/>
        <w:ind w:left="705"/>
        <w:jc w:val="both"/>
        <w:rPr>
          <w:rFonts w:ascii="Times New Roman" w:hAnsi="Times New Roman"/>
          <w:sz w:val="24"/>
          <w:szCs w:val="24"/>
          <w:lang w:val="es-419"/>
        </w:rPr>
      </w:pPr>
      <w:r w:rsidRPr="000741E8">
        <w:rPr>
          <w:rFonts w:ascii="Times New Roman" w:hAnsi="Times New Roman"/>
          <w:sz w:val="24"/>
          <w:szCs w:val="24"/>
          <w:lang w:val="es-419"/>
        </w:rPr>
        <w:t xml:space="preserve">Los intangibles adquiridos se miden al costo de adquisición y los intangibles desarrollados se miden a costo de desarrollos estimados por la Dirección de las </w:t>
      </w:r>
      <w:proofErr w:type="spellStart"/>
      <w:r w:rsidRPr="000741E8">
        <w:rPr>
          <w:rFonts w:ascii="Times New Roman" w:hAnsi="Times New Roman"/>
          <w:sz w:val="24"/>
          <w:szCs w:val="24"/>
          <w:lang w:val="es-419"/>
        </w:rPr>
        <w:t>TIC´s</w:t>
      </w:r>
      <w:proofErr w:type="spellEnd"/>
      <w:r w:rsidRPr="000741E8">
        <w:rPr>
          <w:rFonts w:ascii="Times New Roman" w:hAnsi="Times New Roman"/>
          <w:sz w:val="24"/>
          <w:szCs w:val="24"/>
          <w:lang w:val="es-419"/>
        </w:rPr>
        <w:t xml:space="preserve">. </w:t>
      </w:r>
    </w:p>
    <w:p w:rsidR="0065290A" w:rsidRPr="000741E8" w:rsidRDefault="0065290A" w:rsidP="0065290A">
      <w:pPr>
        <w:pStyle w:val="Prrafodelista"/>
        <w:spacing w:after="0" w:line="240" w:lineRule="auto"/>
        <w:ind w:left="705"/>
        <w:jc w:val="both"/>
        <w:rPr>
          <w:rFonts w:ascii="Times New Roman" w:hAnsi="Times New Roman"/>
          <w:sz w:val="24"/>
          <w:szCs w:val="24"/>
          <w:lang w:val="es-419"/>
        </w:rPr>
      </w:pPr>
    </w:p>
    <w:p w:rsidR="0065290A" w:rsidRPr="000741E8" w:rsidRDefault="0065290A" w:rsidP="0065290A">
      <w:pPr>
        <w:pStyle w:val="Prrafodelista"/>
        <w:spacing w:after="0" w:line="240" w:lineRule="auto"/>
        <w:ind w:left="705"/>
        <w:jc w:val="both"/>
        <w:rPr>
          <w:rFonts w:ascii="Times New Roman" w:hAnsi="Times New Roman"/>
          <w:sz w:val="24"/>
          <w:szCs w:val="24"/>
          <w:lang w:val="es-419"/>
        </w:rPr>
      </w:pPr>
      <w:r w:rsidRPr="000741E8">
        <w:rPr>
          <w:rFonts w:ascii="Times New Roman" w:hAnsi="Times New Roman"/>
          <w:sz w:val="24"/>
          <w:szCs w:val="24"/>
          <w:lang w:val="es-419"/>
        </w:rPr>
        <w:t>Medición de pasivos al costo.</w:t>
      </w:r>
    </w:p>
    <w:p w:rsidR="0065290A" w:rsidRPr="000741E8" w:rsidRDefault="0065290A" w:rsidP="0065290A">
      <w:pPr>
        <w:pStyle w:val="Prrafodelista"/>
        <w:spacing w:after="0" w:line="240" w:lineRule="auto"/>
        <w:ind w:left="927"/>
        <w:jc w:val="both"/>
        <w:rPr>
          <w:rFonts w:ascii="Times New Roman" w:hAnsi="Times New Roman"/>
          <w:sz w:val="24"/>
          <w:szCs w:val="24"/>
        </w:rPr>
      </w:pPr>
    </w:p>
    <w:p w:rsidR="0065290A" w:rsidRPr="000741E8" w:rsidRDefault="0065290A" w:rsidP="0065290A">
      <w:pPr>
        <w:pStyle w:val="Ttulo2"/>
        <w:numPr>
          <w:ilvl w:val="1"/>
          <w:numId w:val="13"/>
        </w:numPr>
        <w:ind w:left="567" w:hanging="567"/>
        <w:rPr>
          <w:rFonts w:cs="Times New Roman"/>
          <w:szCs w:val="24"/>
        </w:rPr>
      </w:pPr>
      <w:bookmarkStart w:id="8" w:name="_Toc30823466"/>
      <w:r w:rsidRPr="000741E8">
        <w:rPr>
          <w:rFonts w:cs="Times New Roman"/>
          <w:szCs w:val="24"/>
        </w:rPr>
        <w:t>Moneda funcional y de presentación, redondeo y materialidad</w:t>
      </w:r>
      <w:bookmarkEnd w:id="8"/>
    </w:p>
    <w:p w:rsidR="0065290A" w:rsidRPr="000741E8" w:rsidRDefault="0065290A" w:rsidP="0065290A">
      <w:pPr>
        <w:pStyle w:val="Prrafodelista"/>
        <w:spacing w:after="0" w:line="240" w:lineRule="auto"/>
        <w:ind w:left="567"/>
        <w:jc w:val="both"/>
        <w:rPr>
          <w:rFonts w:ascii="Times New Roman" w:hAnsi="Times New Roman"/>
          <w:b/>
          <w:sz w:val="24"/>
          <w:szCs w:val="24"/>
        </w:rPr>
      </w:pPr>
    </w:p>
    <w:p w:rsidR="0065290A" w:rsidRPr="000741E8" w:rsidRDefault="0065290A" w:rsidP="0065290A">
      <w:pPr>
        <w:spacing w:line="240" w:lineRule="auto"/>
        <w:ind w:left="705"/>
        <w:jc w:val="both"/>
        <w:rPr>
          <w:rFonts w:ascii="Times New Roman" w:hAnsi="Times New Roman"/>
          <w:color w:val="FF0000"/>
          <w:sz w:val="24"/>
          <w:szCs w:val="24"/>
          <w:lang w:val="es-419"/>
        </w:rPr>
      </w:pPr>
      <w:r w:rsidRPr="000741E8">
        <w:rPr>
          <w:rFonts w:ascii="Times New Roman" w:hAnsi="Times New Roman"/>
          <w:sz w:val="24"/>
          <w:szCs w:val="24"/>
          <w:lang w:val="es-419"/>
        </w:rPr>
        <w:t>En la Contraloría de Bogotá se maneja como moneda funcional Pesos Colombianos y moneda de presentación pesos colombianos.</w:t>
      </w:r>
    </w:p>
    <w:p w:rsidR="0065290A" w:rsidRPr="000741E8" w:rsidRDefault="0065290A" w:rsidP="0065290A">
      <w:pPr>
        <w:pStyle w:val="Prrafodelista"/>
        <w:spacing w:after="0" w:line="240" w:lineRule="auto"/>
        <w:jc w:val="both"/>
        <w:rPr>
          <w:rFonts w:ascii="Times New Roman" w:hAnsi="Times New Roman"/>
          <w:sz w:val="24"/>
          <w:szCs w:val="24"/>
          <w:lang w:val="es-419"/>
        </w:rPr>
      </w:pPr>
    </w:p>
    <w:p w:rsidR="0065290A" w:rsidRPr="000741E8" w:rsidRDefault="0065290A" w:rsidP="0065290A">
      <w:pPr>
        <w:pStyle w:val="Ttulo1"/>
        <w:rPr>
          <w:rFonts w:cs="Times New Roman"/>
          <w:sz w:val="24"/>
          <w:szCs w:val="24"/>
        </w:rPr>
      </w:pPr>
      <w:bookmarkStart w:id="9" w:name="_Toc30823467"/>
      <w:r w:rsidRPr="000741E8">
        <w:rPr>
          <w:rFonts w:cs="Times New Roman"/>
          <w:sz w:val="24"/>
          <w:szCs w:val="24"/>
        </w:rPr>
        <w:lastRenderedPageBreak/>
        <w:t>NOTA 3. JUICIOS, ESTIMACIONES, RIESGOS Y CORRECCIÓN DE ERRORES CONTABLES</w:t>
      </w:r>
      <w:bookmarkEnd w:id="9"/>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1"/>
          <w:numId w:val="14"/>
        </w:numPr>
        <w:ind w:left="567" w:hanging="567"/>
        <w:rPr>
          <w:rFonts w:cs="Times New Roman"/>
          <w:szCs w:val="24"/>
        </w:rPr>
      </w:pPr>
      <w:bookmarkStart w:id="10" w:name="_Toc30823468"/>
      <w:r w:rsidRPr="000741E8">
        <w:rPr>
          <w:rFonts w:cs="Times New Roman"/>
          <w:szCs w:val="24"/>
        </w:rPr>
        <w:t>Juicios</w:t>
      </w:r>
      <w:bookmarkEnd w:id="10"/>
    </w:p>
    <w:p w:rsidR="0065290A" w:rsidRPr="000741E8" w:rsidRDefault="0065290A" w:rsidP="0065290A">
      <w:pPr>
        <w:pStyle w:val="Prrafodelista"/>
        <w:spacing w:after="0" w:line="240" w:lineRule="auto"/>
        <w:ind w:left="567"/>
        <w:jc w:val="both"/>
        <w:rPr>
          <w:rFonts w:ascii="Times New Roman" w:hAnsi="Times New Roman"/>
          <w:b/>
          <w:sz w:val="24"/>
          <w:szCs w:val="24"/>
        </w:rPr>
      </w:pPr>
    </w:p>
    <w:p w:rsidR="0065290A" w:rsidRPr="000741E8" w:rsidRDefault="0065290A" w:rsidP="0065290A">
      <w:pPr>
        <w:pStyle w:val="Prrafodelista"/>
        <w:spacing w:after="0" w:line="240" w:lineRule="auto"/>
        <w:ind w:left="567"/>
        <w:jc w:val="both"/>
        <w:rPr>
          <w:rFonts w:ascii="Times New Roman" w:hAnsi="Times New Roman"/>
          <w:sz w:val="24"/>
          <w:szCs w:val="24"/>
        </w:rPr>
      </w:pPr>
      <w:r w:rsidRPr="000741E8">
        <w:rPr>
          <w:rFonts w:ascii="Times New Roman" w:hAnsi="Times New Roman"/>
          <w:sz w:val="24"/>
          <w:szCs w:val="24"/>
          <w:lang w:val="es-419"/>
        </w:rPr>
        <w:t>La Contraloría de Bogotá D.C, da aplicación de las políticas de la ECP Bogotá, adoptadas mediante Resolución SDH068 de 2018.</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1"/>
          <w:numId w:val="14"/>
        </w:numPr>
        <w:ind w:left="567" w:hanging="567"/>
        <w:rPr>
          <w:rFonts w:cs="Times New Roman"/>
          <w:szCs w:val="24"/>
        </w:rPr>
      </w:pPr>
      <w:bookmarkStart w:id="11" w:name="_Toc30823469"/>
      <w:r w:rsidRPr="000741E8">
        <w:rPr>
          <w:rFonts w:cs="Times New Roman"/>
          <w:szCs w:val="24"/>
        </w:rPr>
        <w:t>Estimaciones y supuestos</w:t>
      </w:r>
      <w:bookmarkEnd w:id="11"/>
    </w:p>
    <w:p w:rsidR="0065290A" w:rsidRPr="000741E8" w:rsidRDefault="0065290A" w:rsidP="0065290A">
      <w:pPr>
        <w:spacing w:after="0" w:line="240" w:lineRule="auto"/>
        <w:ind w:left="567"/>
        <w:jc w:val="both"/>
        <w:rPr>
          <w:rFonts w:ascii="Times New Roman" w:hAnsi="Times New Roman"/>
          <w:b/>
          <w:sz w:val="24"/>
          <w:szCs w:val="24"/>
        </w:rPr>
      </w:pPr>
    </w:p>
    <w:p w:rsidR="0065290A" w:rsidRPr="000741E8" w:rsidRDefault="0065290A" w:rsidP="0065290A">
      <w:pPr>
        <w:pStyle w:val="Ttulo2"/>
        <w:numPr>
          <w:ilvl w:val="2"/>
          <w:numId w:val="30"/>
        </w:numPr>
        <w:rPr>
          <w:rFonts w:cs="Times New Roman"/>
          <w:b w:val="0"/>
          <w:color w:val="auto"/>
          <w:szCs w:val="24"/>
          <w:lang w:val="es-419"/>
        </w:rPr>
      </w:pPr>
      <w:bookmarkStart w:id="12" w:name="_Toc30823470"/>
      <w:r w:rsidRPr="000741E8">
        <w:rPr>
          <w:rFonts w:cs="Times New Roman"/>
          <w:b w:val="0"/>
          <w:color w:val="auto"/>
          <w:szCs w:val="24"/>
        </w:rPr>
        <w:t>Para efectos de determinar el deterioro de acuerdo a la política de deterioro para activos no generadores de efectivo se aplicó para los bienes muebles Propiedad, Planta y Equipo superiores a 35 SMMMLV</w:t>
      </w:r>
      <w:r w:rsidRPr="000741E8">
        <w:rPr>
          <w:rFonts w:cs="Times New Roman"/>
          <w:b w:val="0"/>
          <w:color w:val="auto"/>
          <w:szCs w:val="24"/>
          <w:lang w:val="es-419"/>
        </w:rPr>
        <w:t>.</w:t>
      </w:r>
      <w:bookmarkEnd w:id="12"/>
    </w:p>
    <w:p w:rsidR="0065290A" w:rsidRPr="000741E8" w:rsidRDefault="0065290A" w:rsidP="0065290A">
      <w:pPr>
        <w:rPr>
          <w:rFonts w:ascii="Times New Roman" w:hAnsi="Times New Roman"/>
          <w:sz w:val="24"/>
          <w:szCs w:val="24"/>
          <w:lang w:val="es-419"/>
        </w:rPr>
      </w:pPr>
    </w:p>
    <w:p w:rsidR="0065290A" w:rsidRPr="000741E8" w:rsidRDefault="0065290A" w:rsidP="0065290A">
      <w:pPr>
        <w:pStyle w:val="Ttulo2"/>
        <w:numPr>
          <w:ilvl w:val="2"/>
          <w:numId w:val="30"/>
        </w:numPr>
        <w:rPr>
          <w:rFonts w:cs="Times New Roman"/>
          <w:b w:val="0"/>
          <w:color w:val="auto"/>
          <w:szCs w:val="24"/>
          <w:lang w:val="es-419"/>
        </w:rPr>
      </w:pPr>
      <w:bookmarkStart w:id="13" w:name="_Toc30823471"/>
      <w:r w:rsidRPr="000741E8">
        <w:rPr>
          <w:rFonts w:cs="Times New Roman"/>
          <w:b w:val="0"/>
          <w:color w:val="auto"/>
          <w:szCs w:val="24"/>
          <w:lang w:val="es-419"/>
        </w:rPr>
        <w:t xml:space="preserve">En lo relacionado con Litigios Procesos en contra de la Entidad se registra un gasto financiero establecido con el valor presente de los procesos en el aplicativo </w:t>
      </w:r>
      <w:proofErr w:type="spellStart"/>
      <w:r w:rsidRPr="000741E8">
        <w:rPr>
          <w:rFonts w:cs="Times New Roman"/>
          <w:b w:val="0"/>
          <w:color w:val="auto"/>
          <w:szCs w:val="24"/>
          <w:lang w:val="es-419"/>
        </w:rPr>
        <w:t>Siprojweb</w:t>
      </w:r>
      <w:proofErr w:type="spellEnd"/>
      <w:r w:rsidRPr="000741E8">
        <w:rPr>
          <w:rFonts w:cs="Times New Roman"/>
          <w:b w:val="0"/>
          <w:color w:val="auto"/>
          <w:szCs w:val="24"/>
          <w:lang w:val="es-419"/>
        </w:rPr>
        <w:t xml:space="preserve"> de la Secretaria Jurídica de Bogotá, D.C.</w:t>
      </w:r>
      <w:bookmarkEnd w:id="13"/>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pStyle w:val="Ttulo2"/>
        <w:numPr>
          <w:ilvl w:val="1"/>
          <w:numId w:val="14"/>
        </w:numPr>
        <w:ind w:left="567" w:hanging="567"/>
        <w:rPr>
          <w:rFonts w:cs="Times New Roman"/>
          <w:szCs w:val="24"/>
        </w:rPr>
      </w:pPr>
      <w:bookmarkStart w:id="14" w:name="_Toc30823472"/>
      <w:r w:rsidRPr="000741E8">
        <w:rPr>
          <w:rFonts w:cs="Times New Roman"/>
          <w:szCs w:val="24"/>
        </w:rPr>
        <w:t>Correcciones contables</w:t>
      </w:r>
      <w:bookmarkEnd w:id="14"/>
    </w:p>
    <w:p w:rsidR="0065290A" w:rsidRPr="000741E8" w:rsidRDefault="0065290A" w:rsidP="0065290A">
      <w:pPr>
        <w:spacing w:after="0" w:line="240" w:lineRule="auto"/>
        <w:ind w:left="567"/>
        <w:jc w:val="both"/>
        <w:rPr>
          <w:rFonts w:ascii="Times New Roman" w:hAnsi="Times New Roman"/>
          <w:b/>
          <w:sz w:val="24"/>
          <w:szCs w:val="24"/>
        </w:rPr>
      </w:pPr>
    </w:p>
    <w:p w:rsidR="0065290A" w:rsidRPr="000741E8" w:rsidRDefault="0065290A" w:rsidP="0065290A">
      <w:pPr>
        <w:spacing w:after="0" w:line="240" w:lineRule="auto"/>
        <w:ind w:left="567"/>
        <w:jc w:val="both"/>
        <w:rPr>
          <w:rFonts w:ascii="Times New Roman" w:hAnsi="Times New Roman"/>
          <w:sz w:val="24"/>
          <w:szCs w:val="24"/>
          <w:lang w:val="es-419"/>
        </w:rPr>
      </w:pPr>
      <w:r w:rsidRPr="000741E8">
        <w:rPr>
          <w:rFonts w:ascii="Times New Roman" w:hAnsi="Times New Roman"/>
          <w:sz w:val="24"/>
          <w:szCs w:val="24"/>
          <w:lang w:val="es-419"/>
        </w:rPr>
        <w:t>L</w:t>
      </w:r>
      <w:r w:rsidRPr="000741E8">
        <w:rPr>
          <w:rFonts w:ascii="Times New Roman" w:hAnsi="Times New Roman"/>
          <w:sz w:val="24"/>
          <w:szCs w:val="24"/>
        </w:rPr>
        <w:t xml:space="preserve">as correcciones realizadas de periodos anteriores </w:t>
      </w:r>
      <w:r w:rsidRPr="000741E8">
        <w:rPr>
          <w:rFonts w:ascii="Times New Roman" w:hAnsi="Times New Roman"/>
          <w:sz w:val="24"/>
          <w:szCs w:val="24"/>
          <w:lang w:val="es-419"/>
        </w:rPr>
        <w:t>durante la vigencia, se encuentran discriminadas en la NOTA 27 – PATRIMONIO (VER NOTA).</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1"/>
        <w:rPr>
          <w:rFonts w:cs="Times New Roman"/>
          <w:sz w:val="24"/>
          <w:szCs w:val="24"/>
        </w:rPr>
      </w:pPr>
      <w:bookmarkStart w:id="15" w:name="_Toc30823473"/>
      <w:r w:rsidRPr="000741E8">
        <w:rPr>
          <w:rFonts w:cs="Times New Roman"/>
          <w:sz w:val="24"/>
          <w:szCs w:val="24"/>
        </w:rPr>
        <w:t>NOTA 4. RESUMEN DE POLÍTICAS CONTABLES</w:t>
      </w:r>
      <w:bookmarkEnd w:id="15"/>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100" w:afterAutospacing="1"/>
        <w:jc w:val="both"/>
        <w:rPr>
          <w:rFonts w:ascii="Times New Roman" w:hAnsi="Times New Roman"/>
          <w:b/>
          <w:sz w:val="24"/>
          <w:szCs w:val="24"/>
        </w:rPr>
      </w:pPr>
      <w:r w:rsidRPr="000741E8">
        <w:rPr>
          <w:rFonts w:ascii="Times New Roman" w:hAnsi="Times New Roman"/>
          <w:sz w:val="24"/>
          <w:szCs w:val="24"/>
        </w:rPr>
        <w:t>La Contraloría de Bogotá da aplicación al Manual de Políticas Contables establecido por la Secretaria Distrital de Hacienda mediante Resolución No. SDH-000068 del 31 de mayo de 2018, teniendo en cuenta que somos un Ente que hace parte de Bogotá D.C: como Entidad contable Pública, específicamente en lo relacionado con las siguientes políticas contables: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Equivalentes al efectivo</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Cuentas por cobrar</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Propiedades, planta y equipo</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Activos intangibles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Otros activos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Cuentas por pagar</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Beneficios a empleados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Provisiones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lang w:val="es-419"/>
        </w:rPr>
        <w:t>Patrimonio</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lang w:val="es-419"/>
        </w:rPr>
        <w:t>Gastos</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Ingresos con contraprestación</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t>Ingresos sin contraprestación</w:t>
      </w:r>
    </w:p>
    <w:p w:rsidR="0065290A" w:rsidRPr="000741E8" w:rsidRDefault="0065290A" w:rsidP="0065290A">
      <w:pPr>
        <w:pStyle w:val="Prrafodelista"/>
        <w:numPr>
          <w:ilvl w:val="0"/>
          <w:numId w:val="31"/>
        </w:numPr>
        <w:spacing w:after="0" w:line="240" w:lineRule="auto"/>
        <w:jc w:val="both"/>
        <w:rPr>
          <w:rFonts w:ascii="Times New Roman" w:hAnsi="Times New Roman"/>
          <w:sz w:val="24"/>
          <w:szCs w:val="24"/>
        </w:rPr>
      </w:pPr>
      <w:r w:rsidRPr="000741E8">
        <w:rPr>
          <w:rFonts w:ascii="Times New Roman" w:hAnsi="Times New Roman"/>
          <w:sz w:val="24"/>
          <w:szCs w:val="24"/>
        </w:rPr>
        <w:lastRenderedPageBreak/>
        <w:t>Activos y pasivos contingentes</w:t>
      </w:r>
    </w:p>
    <w:p w:rsidR="0065290A" w:rsidRPr="000741E8" w:rsidRDefault="0065290A" w:rsidP="0065290A">
      <w:pPr>
        <w:pStyle w:val="Prrafodelista"/>
        <w:spacing w:after="0" w:line="240" w:lineRule="auto"/>
        <w:ind w:left="1068"/>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Prrafodelista"/>
        <w:numPr>
          <w:ilvl w:val="0"/>
          <w:numId w:val="4"/>
        </w:numPr>
        <w:spacing w:after="0" w:line="240" w:lineRule="auto"/>
        <w:jc w:val="both"/>
        <w:rPr>
          <w:rFonts w:ascii="Times New Roman" w:hAnsi="Times New Roman"/>
          <w:b/>
          <w:sz w:val="24"/>
          <w:szCs w:val="24"/>
        </w:rPr>
      </w:pPr>
      <w:r w:rsidRPr="000741E8">
        <w:rPr>
          <w:rFonts w:ascii="Times New Roman" w:hAnsi="Times New Roman"/>
          <w:b/>
          <w:sz w:val="24"/>
          <w:szCs w:val="24"/>
        </w:rPr>
        <w:t>LISTADO DE NOTAS QUE NO LE APLICAN A LA ENTIDAD</w:t>
      </w:r>
    </w:p>
    <w:p w:rsidR="0065290A" w:rsidRPr="000741E8" w:rsidRDefault="0065290A" w:rsidP="0065290A">
      <w:pPr>
        <w:spacing w:after="0" w:line="240" w:lineRule="auto"/>
        <w:ind w:left="709" w:hanging="2"/>
        <w:jc w:val="both"/>
        <w:rPr>
          <w:rFonts w:ascii="Times New Roman" w:hAnsi="Times New Roman"/>
          <w:b/>
          <w:sz w:val="24"/>
          <w:szCs w:val="24"/>
        </w:rPr>
      </w:pP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6. INVERSIONES E INSTRUMENTOS DERIVADOS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8. PRÉSTAMOS POR COBRAR</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9. INVENTARIOS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11. BIENES DE USO PUBLICO E HISTORICOS Y CULTURALES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12. RECURSOS NATURALES NO RENOVABLES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15. ACTIVOS BIOLOGICOS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16. OTROS DERECHOS Y GARANTIAS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18. COSTOS DE FINANCIAMIENTO</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19. EMISION Y COLOCACION DE TITULOS DE DEUDA</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20. PRÉSTAMOS POR PAGAR</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24. OTROS PASIVOS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30. COSTOS DE VENTAS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31. COSTOS DE TRANSFORMACION</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32. ACUERDOS DE CONCESION – ENTIDAD CONCEDENTE</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 xml:space="preserve">NOTA 33. ADMINISTRACION DE RECURSOS DE SEGURIDAD SOCIAL EN PENSIONES (Fondos de </w:t>
      </w:r>
      <w:proofErr w:type="spellStart"/>
      <w:r w:rsidRPr="000741E8">
        <w:rPr>
          <w:rFonts w:ascii="Times New Roman" w:hAnsi="Times New Roman"/>
          <w:sz w:val="24"/>
          <w:szCs w:val="24"/>
          <w:lang w:val="es-419"/>
        </w:rPr>
        <w:t>Colpensiones</w:t>
      </w:r>
      <w:proofErr w:type="spellEnd"/>
      <w:r w:rsidRPr="000741E8">
        <w:rPr>
          <w:rFonts w:ascii="Times New Roman" w:hAnsi="Times New Roman"/>
          <w:sz w:val="24"/>
          <w:szCs w:val="24"/>
          <w:lang w:val="es-419"/>
        </w:rPr>
        <w:t>)</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34. EFECTOS DE LAS VARIACIONES EN LAS TASAS DE CAMBIO DE LA MONEDA EXTRANJERA</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35. IMPUESTOS A LAS GANANCIAS</w:t>
      </w:r>
    </w:p>
    <w:p w:rsidR="0065290A" w:rsidRPr="000741E8" w:rsidRDefault="0065290A" w:rsidP="0065290A">
      <w:pPr>
        <w:spacing w:after="0" w:line="240" w:lineRule="auto"/>
        <w:ind w:left="708"/>
        <w:jc w:val="both"/>
        <w:rPr>
          <w:rFonts w:ascii="Times New Roman" w:hAnsi="Times New Roman"/>
          <w:sz w:val="24"/>
          <w:szCs w:val="24"/>
          <w:lang w:val="es-419"/>
        </w:rPr>
      </w:pPr>
      <w:r w:rsidRPr="000741E8">
        <w:rPr>
          <w:rFonts w:ascii="Times New Roman" w:hAnsi="Times New Roman"/>
          <w:sz w:val="24"/>
          <w:szCs w:val="24"/>
          <w:lang w:val="es-419"/>
        </w:rPr>
        <w:t>NOTA 36. COMBINACION Y TRASLADO DE OPERACIONES</w:t>
      </w:r>
    </w:p>
    <w:p w:rsidR="0065290A" w:rsidRPr="000741E8" w:rsidRDefault="0065290A" w:rsidP="0065290A">
      <w:pPr>
        <w:ind w:firstLine="708"/>
        <w:rPr>
          <w:rFonts w:ascii="Times New Roman" w:hAnsi="Times New Roman"/>
          <w:sz w:val="24"/>
          <w:szCs w:val="24"/>
        </w:rPr>
      </w:pPr>
      <w:r w:rsidRPr="000741E8">
        <w:rPr>
          <w:rFonts w:ascii="Times New Roman" w:hAnsi="Times New Roman"/>
          <w:sz w:val="24"/>
          <w:szCs w:val="24"/>
          <w:lang w:val="es-419"/>
        </w:rPr>
        <w:t>NOTA 37. REVELACIONES SOBRE EL ESTADO DE FLUJO DE EFECTIVO</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1"/>
        <w:rPr>
          <w:rFonts w:cs="Times New Roman"/>
          <w:sz w:val="24"/>
          <w:szCs w:val="24"/>
        </w:rPr>
      </w:pPr>
      <w:bookmarkStart w:id="16" w:name="_Toc30823474"/>
      <w:r w:rsidRPr="000741E8">
        <w:rPr>
          <w:rFonts w:cs="Times New Roman"/>
          <w:sz w:val="24"/>
          <w:szCs w:val="24"/>
        </w:rPr>
        <w:t>NOTA 5. EFECTIVO Y EQUIVALENTES AL EFECTIVO</w:t>
      </w:r>
      <w:bookmarkEnd w:id="16"/>
      <w:r w:rsidRPr="000741E8">
        <w:rPr>
          <w:rFonts w:cs="Times New Roman"/>
          <w:sz w:val="24"/>
          <w:szCs w:val="24"/>
        </w:rPr>
        <w:t xml:space="preserve"> </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17" w:name="_Toc30823475"/>
      <w:r w:rsidRPr="000741E8">
        <w:rPr>
          <w:rFonts w:cs="Times New Roman"/>
          <w:szCs w:val="24"/>
        </w:rPr>
        <w:t>Composición</w:t>
      </w:r>
      <w:bookmarkEnd w:id="17"/>
    </w:p>
    <w:p w:rsidR="0065290A" w:rsidRPr="000741E8" w:rsidRDefault="0065290A" w:rsidP="0065290A">
      <w:pPr>
        <w:spacing w:after="0" w:line="240" w:lineRule="auto"/>
        <w:ind w:left="360"/>
        <w:jc w:val="both"/>
        <w:rPr>
          <w:rFonts w:ascii="Times New Roman" w:hAnsi="Times New Roman"/>
          <w:b/>
          <w:sz w:val="24"/>
          <w:szCs w:val="24"/>
        </w:rPr>
      </w:pPr>
    </w:p>
    <w:p w:rsidR="0065290A" w:rsidRPr="000741E8" w:rsidRDefault="0065290A" w:rsidP="0065290A">
      <w:pPr>
        <w:spacing w:after="0" w:line="240" w:lineRule="auto"/>
        <w:ind w:left="360"/>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4D76AAFE" wp14:editId="5C8ABD7F">
            <wp:extent cx="5791835" cy="16631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835" cy="1663127"/>
                    </a:xfrm>
                    <a:prstGeom prst="rect">
                      <a:avLst/>
                    </a:prstGeom>
                    <a:noFill/>
                    <a:ln>
                      <a:noFill/>
                    </a:ln>
                  </pic:spPr>
                </pic:pic>
              </a:graphicData>
            </a:graphic>
          </wp:inline>
        </w:drawing>
      </w:r>
    </w:p>
    <w:p w:rsidR="0065290A" w:rsidRPr="000741E8" w:rsidRDefault="0065290A" w:rsidP="0065290A">
      <w:pPr>
        <w:spacing w:after="0" w:line="240" w:lineRule="auto"/>
        <w:ind w:left="360"/>
        <w:jc w:val="both"/>
        <w:rPr>
          <w:rFonts w:ascii="Times New Roman" w:hAnsi="Times New Roman"/>
          <w:b/>
          <w:sz w:val="24"/>
          <w:szCs w:val="24"/>
        </w:rPr>
      </w:pPr>
    </w:p>
    <w:p w:rsidR="0065290A" w:rsidRPr="000741E8" w:rsidRDefault="0065290A" w:rsidP="0065290A">
      <w:pPr>
        <w:spacing w:after="0" w:line="240" w:lineRule="auto"/>
        <w:ind w:left="360"/>
        <w:jc w:val="both"/>
        <w:rPr>
          <w:rFonts w:ascii="Times New Roman" w:hAnsi="Times New Roman"/>
          <w:sz w:val="24"/>
          <w:szCs w:val="24"/>
        </w:rPr>
      </w:pPr>
    </w:p>
    <w:p w:rsidR="0065290A" w:rsidRPr="000741E8" w:rsidRDefault="0065290A" w:rsidP="0065290A">
      <w:pPr>
        <w:spacing w:after="0" w:line="240" w:lineRule="auto"/>
        <w:ind w:left="360"/>
        <w:jc w:val="both"/>
        <w:rPr>
          <w:rFonts w:ascii="Times New Roman" w:hAnsi="Times New Roman"/>
          <w:sz w:val="24"/>
          <w:szCs w:val="24"/>
        </w:rPr>
      </w:pPr>
    </w:p>
    <w:p w:rsidR="0065290A" w:rsidRPr="000741E8" w:rsidRDefault="0065290A" w:rsidP="0065290A">
      <w:pPr>
        <w:spacing w:after="0" w:line="240" w:lineRule="auto"/>
        <w:ind w:left="36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lastRenderedPageBreak/>
        <w:t>La Contraloría de Bogotá utiliza el mecanismo de la cuenta única distrital CUD, que maneja la Dirección Distrital de Tesorería DDT, que tiene a su cargo la administración de todos los recursos financieros de Bogotá D.C, a través de operaciones interinstitucionales y transferencias.</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Para atender el pago de proveedores de bienes y servicios, servicios públicos, pago de la nómina y aportes de la Entidad, genera Ordenes de Tesorería en SDH, la cual realiza el pago de los proveedores y gira a la Contraloría de Bogotá lo correspondiente al pago de la nómina, aportes, servicios públicos e impuestos.</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Adicionalmente la Contraloría de Bogotá, maneja recursos propios producto de contrato de arrendamiento de los pisos 33 al 37 del Edifico de Avianca suscrito con el Banco Agrario.</w:t>
      </w:r>
    </w:p>
    <w:p w:rsidR="0065290A" w:rsidRPr="000741E8" w:rsidRDefault="0065290A" w:rsidP="0065290A">
      <w:pPr>
        <w:spacing w:after="0" w:line="240" w:lineRule="auto"/>
        <w:ind w:left="360"/>
        <w:jc w:val="both"/>
        <w:rPr>
          <w:rFonts w:ascii="Times New Roman" w:hAnsi="Times New Roman"/>
          <w:sz w:val="24"/>
          <w:szCs w:val="24"/>
          <w:lang w:val="es-419"/>
        </w:rPr>
      </w:pPr>
    </w:p>
    <w:p w:rsidR="0065290A" w:rsidRPr="000741E8" w:rsidRDefault="0065290A" w:rsidP="0065290A">
      <w:pPr>
        <w:pStyle w:val="Prrafodelista"/>
        <w:spacing w:after="0" w:line="240" w:lineRule="auto"/>
        <w:ind w:left="1080"/>
        <w:jc w:val="both"/>
        <w:rPr>
          <w:rFonts w:ascii="Times New Roman" w:hAnsi="Times New Roman"/>
          <w:sz w:val="24"/>
          <w:szCs w:val="24"/>
        </w:rPr>
      </w:pPr>
    </w:p>
    <w:p w:rsidR="0065290A" w:rsidRPr="000741E8" w:rsidRDefault="0065290A" w:rsidP="0065290A">
      <w:pPr>
        <w:pStyle w:val="Ttulo2"/>
        <w:numPr>
          <w:ilvl w:val="1"/>
          <w:numId w:val="15"/>
        </w:numPr>
        <w:ind w:left="567" w:hanging="567"/>
        <w:rPr>
          <w:rFonts w:cs="Times New Roman"/>
          <w:szCs w:val="24"/>
        </w:rPr>
      </w:pPr>
      <w:bookmarkStart w:id="18" w:name="_Toc30823476"/>
      <w:r w:rsidRPr="000741E8">
        <w:rPr>
          <w:rFonts w:cs="Times New Roman"/>
          <w:szCs w:val="24"/>
        </w:rPr>
        <w:t>Depósitos en instituciones financieras</w:t>
      </w:r>
      <w:bookmarkEnd w:id="18"/>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1948834" wp14:editId="4A3A0F47">
            <wp:extent cx="5791835" cy="816692"/>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816692"/>
                    </a:xfrm>
                    <a:prstGeom prst="rect">
                      <a:avLst/>
                    </a:prstGeom>
                    <a:noFill/>
                    <a:ln>
                      <a:noFill/>
                    </a:ln>
                  </pic:spPr>
                </pic:pic>
              </a:graphicData>
            </a:graphic>
          </wp:inline>
        </w:drawing>
      </w:r>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La Contraloría de Bogotá para su funcionamiento dispone de la cuenta corriente 450269999279 en el Banco Davivienda en la cual se recaudan todos los ingresos por transferencias de SDH para atender los pagos de nómina, aportes parafiscales e  impuestos por pagar de las Ordenes de Tesorería emitidas por SDH; dispone de 2 cuentas de ahorro en el Banco Davivienda la 0570450270155697 para el recaudo de ingresos propios por arrendamiento y la cuenta 007900257994 para recaudar los ingresos por otros conceptos como: fotocopias de procesos, multas, sanciones y recuperación de incapacidades de las diferentes EPS.</w:t>
      </w:r>
    </w:p>
    <w:p w:rsidR="0065290A" w:rsidRPr="000741E8" w:rsidRDefault="0065290A" w:rsidP="0065290A">
      <w:pPr>
        <w:spacing w:after="0" w:line="240" w:lineRule="auto"/>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El saldo de la cuenta corriente representa el 76% del disponible de la entidad.</w:t>
      </w: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El incremento en el saldo de la cuenta corriente del 307.8% se origina principalmente por la recepción de recursos de la secretaria de hacienda para el pago de la nómina y seguridad social</w:t>
      </w:r>
      <w:r w:rsidRPr="000741E8">
        <w:rPr>
          <w:rFonts w:ascii="Times New Roman" w:hAnsi="Times New Roman"/>
          <w:sz w:val="24"/>
          <w:szCs w:val="24"/>
          <w:lang w:val="es-419"/>
        </w:rPr>
        <w:t xml:space="preserve"> e impuestos</w:t>
      </w:r>
      <w:r w:rsidRPr="000741E8">
        <w:rPr>
          <w:rFonts w:ascii="Times New Roman" w:hAnsi="Times New Roman"/>
          <w:sz w:val="24"/>
          <w:szCs w:val="24"/>
        </w:rPr>
        <w:t>, este último se efectúa en enero de 2020</w:t>
      </w:r>
      <w:r w:rsidRPr="000741E8">
        <w:rPr>
          <w:rFonts w:ascii="Times New Roman" w:hAnsi="Times New Roman"/>
          <w:sz w:val="24"/>
          <w:szCs w:val="24"/>
          <w:lang w:val="es-419"/>
        </w:rPr>
        <w:t>.</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El saldo de la cuenta corriente representa el 24% del disponible de la entidad.</w:t>
      </w:r>
    </w:p>
    <w:p w:rsidR="0065290A" w:rsidRPr="000741E8" w:rsidRDefault="0065290A" w:rsidP="0065290A">
      <w:pPr>
        <w:pStyle w:val="Prrafodelista"/>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La disminución en el saldo de la cuenta de ahorros del -70.1% se presenta principalmente por la legalización del ingreso del proceso coactivo 2150 en diciembre de 2018 por valor de $3.800.000.000 de la entidad Empresa de Acueducto y alcantarillado de Bogotá y   por el recaudo de Incapacidades y procesos jurídicos pasando de 324.246.236,6 a 1.047.080.065,67.</w:t>
      </w:r>
    </w:p>
    <w:p w:rsidR="0065290A" w:rsidRPr="000741E8" w:rsidRDefault="0065290A" w:rsidP="0065290A">
      <w:pPr>
        <w:spacing w:after="0" w:line="240" w:lineRule="auto"/>
        <w:rPr>
          <w:rFonts w:ascii="Times New Roman" w:hAnsi="Times New Roman"/>
          <w:sz w:val="24"/>
          <w:szCs w:val="24"/>
        </w:rPr>
      </w:pPr>
    </w:p>
    <w:p w:rsidR="0065290A" w:rsidRPr="000741E8" w:rsidRDefault="0065290A" w:rsidP="0065290A">
      <w:pPr>
        <w:spacing w:after="0" w:line="240" w:lineRule="auto"/>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lastRenderedPageBreak/>
        <w:t>La variación de $2.958.396.304,06 de la cuenta corriente corresponde al giro por parte de la SDH de los aportes patronales de la nómina del mes de diciembre de 2019 y retenciones practicadas por los diferentes conceptos a 31 de diciembre de 2019.</w:t>
      </w:r>
    </w:p>
    <w:p w:rsidR="0065290A" w:rsidRPr="000741E8" w:rsidRDefault="0065290A" w:rsidP="0065290A">
      <w:pPr>
        <w:spacing w:after="0" w:line="240" w:lineRule="auto"/>
        <w:ind w:left="705"/>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La variación de $-2.921.266.523,62 corresponde a recaudo en el mes de diciembre de 2018 de responsabilidad fiscal cancelada por la aseguradora Seguros del Estado,  valor trasferido en el mes de enero de 2019 a la Empresa de Acueducto y Alcantarillado de Bogotá. </w:t>
      </w:r>
    </w:p>
    <w:p w:rsidR="0065290A" w:rsidRPr="000741E8" w:rsidRDefault="0065290A" w:rsidP="0065290A">
      <w:pPr>
        <w:spacing w:after="0" w:line="240" w:lineRule="auto"/>
        <w:ind w:left="705"/>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Con relación a la Rentabilidad,  al cierre de la vigencia se generaron en la cuenta de ahorro de recursos propios rendimientos por $349.382,82 que son registrados como ingresos de la Entidad.</w:t>
      </w:r>
    </w:p>
    <w:p w:rsidR="0065290A" w:rsidRPr="000741E8" w:rsidRDefault="0065290A" w:rsidP="0065290A">
      <w:pPr>
        <w:spacing w:after="0" w:line="240" w:lineRule="auto"/>
        <w:ind w:left="705"/>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Los rendimientos  generados por las cuentas de ahorro y corriente son girados a la SDH, al cierre de la vigencia 2019 las cuentas bancarias se encuentran debidamente conciliadas.</w:t>
      </w:r>
    </w:p>
    <w:p w:rsidR="0065290A" w:rsidRPr="000741E8" w:rsidRDefault="0065290A" w:rsidP="0065290A">
      <w:pPr>
        <w:spacing w:after="0" w:line="240" w:lineRule="auto"/>
        <w:ind w:left="705"/>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Durante la vigencia 2019 se manejaron dos cajas menores que fueron debidamente legalizadas y conciliadas a 31 de diciembre de 2019.   </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1"/>
        <w:rPr>
          <w:rFonts w:cs="Times New Roman"/>
          <w:sz w:val="24"/>
          <w:szCs w:val="24"/>
        </w:rPr>
      </w:pPr>
      <w:bookmarkStart w:id="19" w:name="_Toc30823477"/>
      <w:r w:rsidRPr="000741E8">
        <w:rPr>
          <w:rFonts w:cs="Times New Roman"/>
          <w:sz w:val="24"/>
          <w:szCs w:val="24"/>
        </w:rPr>
        <w:t>NOTA 7. CUENTAS POR COBRAR</w:t>
      </w:r>
      <w:bookmarkEnd w:id="19"/>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20" w:name="_Toc30823478"/>
      <w:r w:rsidRPr="000741E8">
        <w:rPr>
          <w:rFonts w:cs="Times New Roman"/>
          <w:szCs w:val="24"/>
        </w:rPr>
        <w:t>Composición</w:t>
      </w:r>
      <w:bookmarkEnd w:id="20"/>
    </w:p>
    <w:p w:rsidR="0065290A" w:rsidRPr="000741E8"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3068EF36" wp14:editId="44ADAAFB">
            <wp:extent cx="5612130" cy="822488"/>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22488"/>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Las cuentas por cobrar de la entidad están representadas en responsabilidades fiscales, intereses de mora, incapacidades, arrendamiento operativo y deterioro acumulado de cuentas por cobrar, presentaron una variación del 12.4%  originado en la causación del arriendo operativo correspondiente al mes de diciembre y una disminución del 19.5% en otras cuentas por cobrar.</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El deterioro  acumulado de cuentas por cobrar se incrementó en 14.6% calculado por efecto de la antigüedad de las obligaciones vigentes.</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rPr>
        <w:t xml:space="preserve">En esta cuenta se registran las cuentas por cobrar que por su naturaleza, no se pueden registrar en otra cuenta contable, tales como </w:t>
      </w:r>
      <w:r w:rsidRPr="000741E8">
        <w:rPr>
          <w:rFonts w:ascii="Times New Roman" w:hAnsi="Times New Roman"/>
          <w:sz w:val="24"/>
          <w:szCs w:val="24"/>
          <w:lang w:val="es-419"/>
        </w:rPr>
        <w:t>Responsabilidades fiscales, arrendamiento operativo, intereses de mora y reintegro de incapacidades y otras cuentas por cobrar</w:t>
      </w:r>
      <w:r w:rsidRPr="000741E8">
        <w:rPr>
          <w:rFonts w:ascii="Times New Roman" w:hAnsi="Times New Roman"/>
          <w:sz w:val="24"/>
          <w:szCs w:val="24"/>
        </w:rPr>
        <w:t xml:space="preserve">. Representa el </w:t>
      </w:r>
      <w:r w:rsidRPr="000741E8">
        <w:rPr>
          <w:rFonts w:ascii="Times New Roman" w:hAnsi="Times New Roman"/>
          <w:sz w:val="24"/>
          <w:szCs w:val="24"/>
          <w:lang w:val="es-419"/>
        </w:rPr>
        <w:t>5.07</w:t>
      </w:r>
      <w:r w:rsidRPr="000741E8">
        <w:rPr>
          <w:rFonts w:ascii="Times New Roman" w:hAnsi="Times New Roman"/>
          <w:sz w:val="24"/>
          <w:szCs w:val="24"/>
        </w:rPr>
        <w:t xml:space="preserve">% del total del </w:t>
      </w:r>
      <w:r w:rsidRPr="000741E8">
        <w:rPr>
          <w:rFonts w:ascii="Times New Roman" w:hAnsi="Times New Roman"/>
          <w:sz w:val="24"/>
          <w:szCs w:val="24"/>
          <w:lang w:val="es-419"/>
        </w:rPr>
        <w:t>activo,</w:t>
      </w:r>
      <w:r w:rsidRPr="000741E8">
        <w:rPr>
          <w:rFonts w:ascii="Times New Roman" w:hAnsi="Times New Roman"/>
          <w:sz w:val="24"/>
          <w:szCs w:val="24"/>
        </w:rPr>
        <w:t xml:space="preserve"> </w:t>
      </w:r>
      <w:r w:rsidRPr="000741E8">
        <w:rPr>
          <w:rFonts w:ascii="Times New Roman" w:hAnsi="Times New Roman"/>
          <w:sz w:val="24"/>
          <w:szCs w:val="24"/>
          <w:lang w:val="es-419"/>
        </w:rPr>
        <w:t xml:space="preserve">en la vigencia tuvo un incremento de $37.621.603 que equivale a un 11%. El incremento se debió a la causación de las cuentas por cobrar a las diferentes </w:t>
      </w:r>
      <w:proofErr w:type="spellStart"/>
      <w:r w:rsidRPr="000741E8">
        <w:rPr>
          <w:rFonts w:ascii="Times New Roman" w:hAnsi="Times New Roman"/>
          <w:sz w:val="24"/>
          <w:szCs w:val="24"/>
          <w:lang w:val="es-419"/>
        </w:rPr>
        <w:t>EPS´s</w:t>
      </w:r>
      <w:proofErr w:type="spellEnd"/>
      <w:r w:rsidRPr="000741E8">
        <w:rPr>
          <w:rFonts w:ascii="Times New Roman" w:hAnsi="Times New Roman"/>
          <w:sz w:val="24"/>
          <w:szCs w:val="24"/>
          <w:lang w:val="es-419"/>
        </w:rPr>
        <w:t xml:space="preserve"> y ARL por las incapacidades pagadas a los funcionarios de la entidad.</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pStyle w:val="Prrafodelista"/>
        <w:spacing w:after="0" w:line="240" w:lineRule="auto"/>
        <w:jc w:val="both"/>
        <w:rPr>
          <w:rFonts w:ascii="Times New Roman" w:hAnsi="Times New Roman"/>
          <w:sz w:val="24"/>
          <w:szCs w:val="24"/>
          <w:u w:val="single"/>
        </w:rPr>
      </w:pPr>
    </w:p>
    <w:p w:rsidR="0065290A" w:rsidRPr="000741E8" w:rsidRDefault="0065290A" w:rsidP="0065290A">
      <w:pPr>
        <w:pStyle w:val="Ttulo2"/>
        <w:numPr>
          <w:ilvl w:val="0"/>
          <w:numId w:val="0"/>
        </w:numPr>
        <w:ind w:left="567"/>
        <w:rPr>
          <w:rFonts w:cs="Times New Roman"/>
          <w:szCs w:val="24"/>
        </w:rPr>
      </w:pPr>
    </w:p>
    <w:p w:rsidR="0065290A" w:rsidRPr="000741E8" w:rsidRDefault="0065290A" w:rsidP="0065290A">
      <w:pPr>
        <w:spacing w:after="0" w:line="240" w:lineRule="auto"/>
        <w:ind w:left="720"/>
        <w:jc w:val="both"/>
        <w:rPr>
          <w:rFonts w:ascii="Times New Roman" w:hAnsi="Times New Roman"/>
          <w:sz w:val="24"/>
          <w:szCs w:val="24"/>
        </w:rPr>
      </w:pPr>
    </w:p>
    <w:p w:rsidR="0065290A" w:rsidRDefault="0065290A" w:rsidP="0065290A">
      <w:pPr>
        <w:pStyle w:val="Ttulo2"/>
        <w:numPr>
          <w:ilvl w:val="1"/>
          <w:numId w:val="35"/>
        </w:numPr>
        <w:rPr>
          <w:rFonts w:cs="Times New Roman"/>
          <w:szCs w:val="24"/>
        </w:rPr>
      </w:pPr>
      <w:r w:rsidRPr="000741E8">
        <w:rPr>
          <w:rFonts w:cs="Times New Roman"/>
          <w:szCs w:val="24"/>
          <w:lang w:val="es-419"/>
        </w:rPr>
        <w:lastRenderedPageBreak/>
        <w:t xml:space="preserve"> </w:t>
      </w:r>
      <w:bookmarkStart w:id="21" w:name="_Toc30823479"/>
      <w:r w:rsidRPr="000741E8">
        <w:rPr>
          <w:rFonts w:cs="Times New Roman"/>
          <w:szCs w:val="24"/>
        </w:rPr>
        <w:t>Contribuciones tasas e ingresos no tributarios</w:t>
      </w:r>
      <w:bookmarkEnd w:id="21"/>
    </w:p>
    <w:p w:rsidR="0065290A" w:rsidRPr="00BD06A0" w:rsidRDefault="0065290A" w:rsidP="0065290A"/>
    <w:p w:rsidR="0065290A" w:rsidRDefault="0065290A" w:rsidP="0065290A">
      <w:pPr>
        <w:pStyle w:val="Ttulo3"/>
      </w:pPr>
      <w:bookmarkStart w:id="22" w:name="_Toc30823480"/>
      <w:r w:rsidRPr="000741E8">
        <w:t>Anexo 7.2.</w:t>
      </w:r>
      <w:bookmarkEnd w:id="22"/>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5853A25" wp14:editId="73148AE9">
            <wp:extent cx="5612130" cy="1071512"/>
            <wp:effectExtent l="19050" t="19050" r="26670" b="146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071512"/>
                    </a:xfrm>
                    <a:prstGeom prst="rect">
                      <a:avLst/>
                    </a:prstGeom>
                    <a:noFill/>
                    <a:ln>
                      <a:solidFill>
                        <a:schemeClr val="tx1"/>
                      </a:solidFill>
                    </a:ln>
                  </pic:spPr>
                </pic:pic>
              </a:graphicData>
            </a:graphic>
          </wp:inline>
        </w:drawing>
      </w:r>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Para el cálculo del deterioro se aplicó una tasa del 5.76% a las partidas sometidas al deterioro, a los saldos reflejados por concepto de Responsabilidades fiscales.</w:t>
      </w:r>
    </w:p>
    <w:p w:rsidR="0065290A" w:rsidRPr="000741E8" w:rsidRDefault="0065290A" w:rsidP="0065290A">
      <w:pPr>
        <w:spacing w:after="0" w:line="240" w:lineRule="auto"/>
        <w:ind w:left="720"/>
        <w:jc w:val="both"/>
        <w:rPr>
          <w:rFonts w:ascii="Times New Roman" w:hAnsi="Times New Roman"/>
          <w:sz w:val="24"/>
          <w:szCs w:val="24"/>
        </w:rPr>
      </w:pPr>
    </w:p>
    <w:p w:rsidR="0065290A" w:rsidRDefault="0065290A" w:rsidP="0065290A">
      <w:pPr>
        <w:pStyle w:val="Ttulo2"/>
        <w:numPr>
          <w:ilvl w:val="0"/>
          <w:numId w:val="0"/>
        </w:numPr>
        <w:rPr>
          <w:rFonts w:cs="Times New Roman"/>
          <w:szCs w:val="24"/>
        </w:rPr>
      </w:pPr>
      <w:bookmarkStart w:id="23" w:name="_Toc30823481"/>
      <w:r w:rsidRPr="000741E8">
        <w:rPr>
          <w:rFonts w:cs="Times New Roman"/>
          <w:szCs w:val="24"/>
          <w:lang w:val="es-419"/>
        </w:rPr>
        <w:t xml:space="preserve">7.18. </w:t>
      </w:r>
      <w:r w:rsidRPr="000741E8">
        <w:rPr>
          <w:rFonts w:cs="Times New Roman"/>
          <w:szCs w:val="24"/>
        </w:rPr>
        <w:t>Cuentas por cobrar de difícil recaudo</w:t>
      </w:r>
      <w:bookmarkEnd w:id="23"/>
    </w:p>
    <w:p w:rsidR="0065290A" w:rsidRPr="00BD06A0" w:rsidRDefault="0065290A" w:rsidP="0065290A"/>
    <w:p w:rsidR="0065290A" w:rsidRDefault="0065290A" w:rsidP="0065290A">
      <w:pPr>
        <w:pStyle w:val="Ttulo3"/>
        <w:rPr>
          <w:lang w:val="es-419"/>
        </w:rPr>
      </w:pPr>
      <w:bookmarkStart w:id="24" w:name="_Toc30823482"/>
      <w:r w:rsidRPr="00BD06A0">
        <w:rPr>
          <w:lang w:val="es-419"/>
        </w:rPr>
        <w:t>Anexo 7.18.</w:t>
      </w:r>
      <w:bookmarkEnd w:id="24"/>
    </w:p>
    <w:p w:rsidR="0065290A" w:rsidRPr="00BD06A0" w:rsidRDefault="0065290A" w:rsidP="0065290A">
      <w:pPr>
        <w:rPr>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7621F4F1" wp14:editId="0FBEBBC3">
            <wp:extent cx="5791835" cy="1022611"/>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1022611"/>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r w:rsidRPr="000741E8">
        <w:rPr>
          <w:rFonts w:ascii="Times New Roman" w:hAnsi="Times New Roman"/>
          <w:sz w:val="24"/>
          <w:szCs w:val="24"/>
          <w:lang w:val="es-419"/>
        </w:rPr>
        <w:t xml:space="preserve">Son las partidas sometidas a deterioro dentro de la vigencia 2019, que corresponden a los saldos por procesos de responsabilidad fiscal, de acuerdo a las políticas contables adoptadas por la entidad para el reconocimiento de la disminución en los valores a cobrar por diferentes criterios como antigüedad de la deuda, incumplimiento en los pagos o la imposibilidad del inicio del cobro coactivo. </w:t>
      </w:r>
    </w:p>
    <w:p w:rsidR="0065290A" w:rsidRDefault="0065290A" w:rsidP="0065290A">
      <w:pPr>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p>
    <w:p w:rsidR="0065290A" w:rsidRDefault="0065290A" w:rsidP="0065290A">
      <w:pPr>
        <w:jc w:val="both"/>
        <w:rPr>
          <w:rFonts w:ascii="Times New Roman" w:hAnsi="Times New Roman"/>
          <w:sz w:val="24"/>
          <w:szCs w:val="24"/>
          <w:lang w:val="es-419"/>
        </w:rPr>
      </w:pPr>
    </w:p>
    <w:p w:rsidR="0065290A" w:rsidRPr="000741E8" w:rsidRDefault="0065290A" w:rsidP="0065290A">
      <w:pPr>
        <w:jc w:val="both"/>
        <w:rPr>
          <w:rFonts w:ascii="Times New Roman" w:hAnsi="Times New Roman"/>
          <w:sz w:val="24"/>
          <w:szCs w:val="24"/>
          <w:lang w:val="es-419"/>
        </w:rPr>
      </w:pPr>
    </w:p>
    <w:p w:rsidR="0065290A" w:rsidRPr="000741E8" w:rsidRDefault="0065290A" w:rsidP="0065290A">
      <w:pPr>
        <w:pStyle w:val="Ttulo1"/>
        <w:rPr>
          <w:rFonts w:cs="Times New Roman"/>
          <w:sz w:val="24"/>
          <w:szCs w:val="24"/>
        </w:rPr>
      </w:pPr>
      <w:bookmarkStart w:id="25" w:name="_Toc30823483"/>
      <w:r w:rsidRPr="000741E8">
        <w:rPr>
          <w:rFonts w:cs="Times New Roman"/>
          <w:sz w:val="24"/>
          <w:szCs w:val="24"/>
        </w:rPr>
        <w:lastRenderedPageBreak/>
        <w:t>NOTA 10. PROPIEDADES, PLANTA Y EQUIPO</w:t>
      </w:r>
      <w:bookmarkEnd w:id="25"/>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26" w:name="_Toc30823484"/>
      <w:r w:rsidRPr="000741E8">
        <w:rPr>
          <w:rFonts w:cs="Times New Roman"/>
          <w:szCs w:val="24"/>
        </w:rPr>
        <w:t>Composición</w:t>
      </w:r>
      <w:bookmarkEnd w:id="26"/>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2335E535" wp14:editId="65A6F306">
            <wp:extent cx="5394325" cy="2600490"/>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9915" cy="2608005"/>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rPr>
        <w:t>Las propiedades, planta y equipo,  de la entidad se encuentran contabilizados al costo histórico, a los cuales se les efectuó depreciación y deterioro por vida útil a la fecha.</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 xml:space="preserve">Los inmuebles de propiedad de la Contraloría se encuentran </w:t>
      </w:r>
      <w:r w:rsidRPr="000741E8">
        <w:rPr>
          <w:rFonts w:ascii="Times New Roman" w:hAnsi="Times New Roman"/>
          <w:sz w:val="24"/>
          <w:szCs w:val="24"/>
          <w:lang w:val="es-419"/>
        </w:rPr>
        <w:t>registrados con</w:t>
      </w:r>
      <w:r w:rsidRPr="000741E8">
        <w:rPr>
          <w:rFonts w:ascii="Times New Roman" w:hAnsi="Times New Roman"/>
          <w:sz w:val="24"/>
          <w:szCs w:val="24"/>
        </w:rPr>
        <w:t xml:space="preserve"> avaluó técnico</w:t>
      </w:r>
      <w:r w:rsidRPr="000741E8">
        <w:rPr>
          <w:rFonts w:ascii="Times New Roman" w:hAnsi="Times New Roman"/>
          <w:sz w:val="24"/>
          <w:szCs w:val="24"/>
          <w:lang w:val="es-419"/>
        </w:rPr>
        <w:t xml:space="preserve"> a 2018</w:t>
      </w:r>
      <w:r w:rsidRPr="000741E8">
        <w:rPr>
          <w:rFonts w:ascii="Times New Roman" w:hAnsi="Times New Roman"/>
          <w:sz w:val="24"/>
          <w:szCs w:val="24"/>
        </w:rPr>
        <w:t>, avalúos realizados por ingenieros idóneos funcionarios de la Contraloría delegados para tal fin</w:t>
      </w:r>
      <w:r w:rsidRPr="000741E8">
        <w:rPr>
          <w:rFonts w:ascii="Times New Roman" w:hAnsi="Times New Roman"/>
          <w:sz w:val="24"/>
          <w:szCs w:val="24"/>
          <w:lang w:val="es-419"/>
        </w:rPr>
        <w:t>, y se realizó análisis de indicios de deterioro registrando los que cumplieran las condiciones.</w:t>
      </w: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rPr>
        <w:t>La Contraloría de Bogotá a través del Área de Inventarios realiza anualmente el levantamiento físico de los elementos devolutivos dados al servicio.</w:t>
      </w: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rPr>
        <w:t>La PPYE de la entidad representa el 68.40% de los activos de la entidad.</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 xml:space="preserve">La propiedad planta y equipo presentó una disminución del 3% originada principalmente por </w:t>
      </w:r>
      <w:r w:rsidRPr="000741E8">
        <w:rPr>
          <w:rFonts w:ascii="Times New Roman" w:hAnsi="Times New Roman"/>
          <w:sz w:val="24"/>
          <w:szCs w:val="24"/>
          <w:lang w:val="es-419"/>
        </w:rPr>
        <w:t xml:space="preserve">los traslados al servicio de equipo de computación,  el registro de bajas de bienes </w:t>
      </w:r>
      <w:proofErr w:type="spellStart"/>
      <w:r w:rsidRPr="000741E8">
        <w:rPr>
          <w:rFonts w:ascii="Times New Roman" w:hAnsi="Times New Roman"/>
          <w:sz w:val="24"/>
          <w:szCs w:val="24"/>
          <w:lang w:val="es-419"/>
        </w:rPr>
        <w:t>det</w:t>
      </w:r>
      <w:r w:rsidRPr="000741E8">
        <w:rPr>
          <w:rFonts w:ascii="Times New Roman" w:hAnsi="Times New Roman"/>
          <w:sz w:val="24"/>
          <w:szCs w:val="24"/>
        </w:rPr>
        <w:t>eriorados</w:t>
      </w:r>
      <w:proofErr w:type="spellEnd"/>
      <w:r w:rsidRPr="000741E8">
        <w:rPr>
          <w:rFonts w:ascii="Times New Roman" w:hAnsi="Times New Roman"/>
          <w:sz w:val="24"/>
          <w:szCs w:val="24"/>
        </w:rPr>
        <w:t xml:space="preserve"> que no se utilizan en las dependencias.</w:t>
      </w:r>
    </w:p>
    <w:p w:rsidR="0065290A" w:rsidRPr="000741E8" w:rsidRDefault="0065290A" w:rsidP="0065290A">
      <w:pPr>
        <w:jc w:val="both"/>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 xml:space="preserve">La </w:t>
      </w:r>
      <w:r w:rsidRPr="000741E8">
        <w:rPr>
          <w:rFonts w:ascii="Times New Roman" w:eastAsia="Times New Roman" w:hAnsi="Times New Roman"/>
          <w:color w:val="000000"/>
          <w:sz w:val="24"/>
          <w:szCs w:val="24"/>
          <w:lang w:val="es-419" w:eastAsia="es-CO"/>
        </w:rPr>
        <w:t>cuenta 1635 Bienes Muebles en Bodega, al cierre de la vigencia presenta valor $0,00 debido a que el 100% de los bienes se dieron al servicio.</w:t>
      </w:r>
    </w:p>
    <w:p w:rsidR="0065290A" w:rsidRPr="000741E8" w:rsidRDefault="0065290A" w:rsidP="0065290A">
      <w:pPr>
        <w:spacing w:after="0" w:line="240" w:lineRule="auto"/>
        <w:jc w:val="both"/>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 xml:space="preserve">El incremento </w:t>
      </w:r>
      <w:r w:rsidRPr="000741E8">
        <w:rPr>
          <w:rFonts w:ascii="Times New Roman" w:eastAsia="Times New Roman" w:hAnsi="Times New Roman"/>
          <w:color w:val="000000"/>
          <w:sz w:val="24"/>
          <w:szCs w:val="24"/>
          <w:lang w:val="es-419" w:eastAsia="es-CO"/>
        </w:rPr>
        <w:t xml:space="preserve">en la cuenta 1637 de $41.371.876,80 </w:t>
      </w:r>
      <w:r w:rsidRPr="000741E8">
        <w:rPr>
          <w:rFonts w:ascii="Times New Roman" w:eastAsia="Times New Roman" w:hAnsi="Times New Roman"/>
          <w:color w:val="000000"/>
          <w:sz w:val="24"/>
          <w:szCs w:val="24"/>
          <w:lang w:eastAsia="es-CO"/>
        </w:rPr>
        <w:t xml:space="preserve">se </w:t>
      </w:r>
      <w:proofErr w:type="spellStart"/>
      <w:r w:rsidRPr="000741E8">
        <w:rPr>
          <w:rFonts w:ascii="Times New Roman" w:eastAsia="Times New Roman" w:hAnsi="Times New Roman"/>
          <w:color w:val="000000"/>
          <w:sz w:val="24"/>
          <w:szCs w:val="24"/>
          <w:lang w:eastAsia="es-CO"/>
        </w:rPr>
        <w:t>origin</w:t>
      </w:r>
      <w:r w:rsidRPr="000741E8">
        <w:rPr>
          <w:rFonts w:ascii="Times New Roman" w:eastAsia="Times New Roman" w:hAnsi="Times New Roman"/>
          <w:color w:val="000000"/>
          <w:sz w:val="24"/>
          <w:szCs w:val="24"/>
          <w:lang w:val="es-419" w:eastAsia="es-CO"/>
        </w:rPr>
        <w:t>ó</w:t>
      </w:r>
      <w:proofErr w:type="spellEnd"/>
      <w:r w:rsidRPr="000741E8">
        <w:rPr>
          <w:rFonts w:ascii="Times New Roman" w:eastAsia="Times New Roman" w:hAnsi="Times New Roman"/>
          <w:color w:val="000000"/>
          <w:sz w:val="24"/>
          <w:szCs w:val="24"/>
          <w:lang w:eastAsia="es-CO"/>
        </w:rPr>
        <w:t xml:space="preserve"> principalmente por </w:t>
      </w:r>
      <w:r w:rsidRPr="000741E8">
        <w:rPr>
          <w:rFonts w:ascii="Times New Roman" w:eastAsia="Times New Roman" w:hAnsi="Times New Roman"/>
          <w:color w:val="000000"/>
          <w:sz w:val="24"/>
          <w:szCs w:val="24"/>
          <w:lang w:val="es-419" w:eastAsia="es-CO"/>
        </w:rPr>
        <w:t>el registro de bienes</w:t>
      </w:r>
      <w:r w:rsidRPr="000741E8">
        <w:rPr>
          <w:rFonts w:ascii="Times New Roman" w:eastAsia="Times New Roman" w:hAnsi="Times New Roman"/>
          <w:color w:val="000000"/>
          <w:sz w:val="24"/>
          <w:szCs w:val="24"/>
          <w:lang w:eastAsia="es-CO"/>
        </w:rPr>
        <w:t xml:space="preserve"> sobrantes</w:t>
      </w:r>
      <w:r w:rsidRPr="000741E8">
        <w:rPr>
          <w:rFonts w:ascii="Times New Roman" w:eastAsia="Times New Roman" w:hAnsi="Times New Roman"/>
          <w:color w:val="000000"/>
          <w:sz w:val="24"/>
          <w:szCs w:val="24"/>
          <w:lang w:val="es-419" w:eastAsia="es-CO"/>
        </w:rPr>
        <w:t xml:space="preserve"> como resultado de</w:t>
      </w:r>
      <w:r w:rsidRPr="000741E8">
        <w:rPr>
          <w:rFonts w:ascii="Times New Roman" w:eastAsia="Times New Roman" w:hAnsi="Times New Roman"/>
          <w:color w:val="000000"/>
          <w:sz w:val="24"/>
          <w:szCs w:val="24"/>
          <w:lang w:eastAsia="es-CO"/>
        </w:rPr>
        <w:t xml:space="preserve"> la toma física</w:t>
      </w:r>
      <w:r w:rsidRPr="000741E8">
        <w:rPr>
          <w:rFonts w:ascii="Times New Roman" w:eastAsia="Times New Roman" w:hAnsi="Times New Roman"/>
          <w:color w:val="000000"/>
          <w:sz w:val="24"/>
          <w:szCs w:val="24"/>
          <w:lang w:val="es-419" w:eastAsia="es-CO"/>
        </w:rPr>
        <w:t xml:space="preserve"> de inventarios, según</w:t>
      </w:r>
      <w:r w:rsidRPr="000741E8">
        <w:rPr>
          <w:rFonts w:ascii="Times New Roman" w:eastAsia="Times New Roman" w:hAnsi="Times New Roman"/>
          <w:color w:val="000000"/>
          <w:sz w:val="24"/>
          <w:szCs w:val="24"/>
          <w:lang w:eastAsia="es-CO"/>
        </w:rPr>
        <w:t xml:space="preserve"> acta del Comité de inventarios No. 4 del 20 de diciembre de 2019  para reasignación al servicio en la vigencia 2020.</w:t>
      </w:r>
    </w:p>
    <w:p w:rsidR="0065290A" w:rsidRPr="000741E8" w:rsidRDefault="0065290A" w:rsidP="0065290A">
      <w:pPr>
        <w:spacing w:after="0" w:line="240" w:lineRule="auto"/>
        <w:jc w:val="both"/>
        <w:rPr>
          <w:rFonts w:ascii="Times New Roman" w:eastAsia="Times New Roman" w:hAnsi="Times New Roman"/>
          <w:color w:val="000000"/>
          <w:sz w:val="24"/>
          <w:szCs w:val="24"/>
          <w:lang w:eastAsia="es-CO"/>
        </w:rPr>
      </w:pPr>
    </w:p>
    <w:p w:rsidR="0065290A" w:rsidRPr="000741E8" w:rsidRDefault="0065290A" w:rsidP="0065290A">
      <w:pPr>
        <w:spacing w:after="0" w:line="240" w:lineRule="auto"/>
        <w:jc w:val="both"/>
        <w:rPr>
          <w:rFonts w:ascii="Times New Roman" w:eastAsia="Times New Roman" w:hAnsi="Times New Roman"/>
          <w:color w:val="000000"/>
          <w:sz w:val="24"/>
          <w:szCs w:val="24"/>
          <w:lang w:val="es-419" w:eastAsia="es-CO"/>
        </w:rPr>
      </w:pPr>
      <w:r w:rsidRPr="000741E8">
        <w:rPr>
          <w:rFonts w:ascii="Times New Roman" w:eastAsia="Times New Roman" w:hAnsi="Times New Roman"/>
          <w:color w:val="000000"/>
          <w:sz w:val="24"/>
          <w:szCs w:val="24"/>
          <w:lang w:eastAsia="es-CO"/>
        </w:rPr>
        <w:t xml:space="preserve">El incremento </w:t>
      </w:r>
      <w:r w:rsidRPr="000741E8">
        <w:rPr>
          <w:rFonts w:ascii="Times New Roman" w:eastAsia="Times New Roman" w:hAnsi="Times New Roman"/>
          <w:color w:val="000000"/>
          <w:sz w:val="24"/>
          <w:szCs w:val="24"/>
          <w:lang w:val="es-419" w:eastAsia="es-CO"/>
        </w:rPr>
        <w:t>en la cuenta 1685, corresponde al registro de la depreciación acumulada de enero a diciembre de 2019.</w:t>
      </w:r>
    </w:p>
    <w:p w:rsidR="0065290A" w:rsidRPr="000741E8" w:rsidRDefault="0065290A" w:rsidP="0065290A">
      <w:pPr>
        <w:spacing w:after="0" w:line="240" w:lineRule="auto"/>
        <w:jc w:val="both"/>
        <w:rPr>
          <w:rFonts w:ascii="Times New Roman" w:eastAsia="Times New Roman" w:hAnsi="Times New Roman"/>
          <w:color w:val="000000"/>
          <w:sz w:val="24"/>
          <w:szCs w:val="24"/>
          <w:lang w:eastAsia="es-CO"/>
        </w:rPr>
      </w:pPr>
    </w:p>
    <w:p w:rsidR="0065290A" w:rsidRPr="000741E8" w:rsidRDefault="0065290A" w:rsidP="0065290A">
      <w:pPr>
        <w:spacing w:after="0" w:line="240" w:lineRule="auto"/>
        <w:jc w:val="both"/>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lastRenderedPageBreak/>
        <w:t xml:space="preserve">El incremento </w:t>
      </w:r>
      <w:r w:rsidRPr="000741E8">
        <w:rPr>
          <w:rFonts w:ascii="Times New Roman" w:eastAsia="Times New Roman" w:hAnsi="Times New Roman"/>
          <w:color w:val="000000"/>
          <w:sz w:val="24"/>
          <w:szCs w:val="24"/>
          <w:lang w:val="es-419" w:eastAsia="es-CO"/>
        </w:rPr>
        <w:t xml:space="preserve">de la cuenta 1695, obedece al registro del deterioro de la planta eléctrica </w:t>
      </w:r>
      <w:r w:rsidRPr="000741E8">
        <w:rPr>
          <w:rFonts w:ascii="Times New Roman" w:eastAsia="Times New Roman" w:hAnsi="Times New Roman"/>
          <w:color w:val="000000"/>
          <w:sz w:val="24"/>
          <w:szCs w:val="24"/>
          <w:lang w:eastAsia="es-CO"/>
        </w:rPr>
        <w:t xml:space="preserve">con placa 32616 que </w:t>
      </w:r>
      <w:r w:rsidRPr="000741E8">
        <w:rPr>
          <w:rFonts w:ascii="Times New Roman" w:eastAsia="Times New Roman" w:hAnsi="Times New Roman"/>
          <w:color w:val="000000"/>
          <w:sz w:val="24"/>
          <w:szCs w:val="24"/>
          <w:lang w:val="es-419" w:eastAsia="es-CO"/>
        </w:rPr>
        <w:t xml:space="preserve">al cierre de la vigencia 2018 presentaba </w:t>
      </w:r>
      <w:r w:rsidRPr="000741E8">
        <w:rPr>
          <w:rFonts w:ascii="Times New Roman" w:eastAsia="Times New Roman" w:hAnsi="Times New Roman"/>
          <w:color w:val="000000"/>
          <w:sz w:val="24"/>
          <w:szCs w:val="24"/>
          <w:lang w:eastAsia="es-CO"/>
        </w:rPr>
        <w:t xml:space="preserve">deterioro, </w:t>
      </w:r>
      <w:r w:rsidRPr="000741E8">
        <w:rPr>
          <w:rFonts w:ascii="Times New Roman" w:eastAsia="Times New Roman" w:hAnsi="Times New Roman"/>
          <w:color w:val="000000"/>
          <w:sz w:val="24"/>
          <w:szCs w:val="24"/>
          <w:lang w:val="es-419" w:eastAsia="es-CO"/>
        </w:rPr>
        <w:t xml:space="preserve">adicionalmente se registra  deterioro de </w:t>
      </w:r>
      <w:r w:rsidRPr="000741E8">
        <w:rPr>
          <w:rFonts w:ascii="Times New Roman" w:eastAsia="Times New Roman" w:hAnsi="Times New Roman"/>
          <w:color w:val="000000"/>
          <w:sz w:val="24"/>
          <w:szCs w:val="24"/>
          <w:lang w:eastAsia="es-CO"/>
        </w:rPr>
        <w:t>la U.P.S con placa 34001 por valor de $408.230</w:t>
      </w:r>
      <w:r w:rsidRPr="000741E8">
        <w:rPr>
          <w:rFonts w:ascii="Times New Roman" w:eastAsia="Times New Roman" w:hAnsi="Times New Roman"/>
          <w:color w:val="000000"/>
          <w:sz w:val="24"/>
          <w:szCs w:val="24"/>
          <w:lang w:val="es-419" w:eastAsia="es-CO"/>
        </w:rPr>
        <w:t>,</w:t>
      </w:r>
      <w:r w:rsidRPr="000741E8">
        <w:rPr>
          <w:rFonts w:ascii="Times New Roman" w:eastAsia="Times New Roman" w:hAnsi="Times New Roman"/>
          <w:color w:val="000000"/>
          <w:sz w:val="24"/>
          <w:szCs w:val="24"/>
          <w:lang w:eastAsia="es-CO"/>
        </w:rPr>
        <w:t>34 y a la U.P.S. con placa 34002 por valor de $408.230,34.</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2"/>
        <w:numPr>
          <w:ilvl w:val="1"/>
          <w:numId w:val="17"/>
        </w:numPr>
        <w:ind w:left="567" w:hanging="567"/>
        <w:rPr>
          <w:rFonts w:cs="Times New Roman"/>
          <w:szCs w:val="24"/>
        </w:rPr>
      </w:pPr>
      <w:bookmarkStart w:id="27" w:name="_Toc30823485"/>
      <w:r w:rsidRPr="000741E8">
        <w:rPr>
          <w:rFonts w:cs="Times New Roman"/>
          <w:szCs w:val="24"/>
        </w:rPr>
        <w:t>Detalle saldos y movimientos PPE - Muebles</w:t>
      </w:r>
      <w:bookmarkEnd w:id="27"/>
    </w:p>
    <w:p w:rsidR="0065290A" w:rsidRPr="000741E8" w:rsidRDefault="0065290A" w:rsidP="0065290A">
      <w:pPr>
        <w:spacing w:after="0" w:line="240" w:lineRule="auto"/>
        <w:ind w:left="720"/>
        <w:jc w:val="both"/>
        <w:rPr>
          <w:rFonts w:ascii="Times New Roman" w:hAnsi="Times New Roman"/>
          <w:sz w:val="24"/>
          <w:szCs w:val="24"/>
        </w:rPr>
      </w:pPr>
    </w:p>
    <w:p w:rsidR="0065290A" w:rsidRPr="00BD06A0" w:rsidRDefault="0065290A" w:rsidP="0065290A">
      <w:pPr>
        <w:pStyle w:val="Ttulo3"/>
      </w:pPr>
      <w:bookmarkStart w:id="28" w:name="_Toc30823486"/>
      <w:r w:rsidRPr="00BD06A0">
        <w:rPr>
          <w:lang w:val="es-419"/>
        </w:rPr>
        <w:t>Anexo 10.1</w:t>
      </w:r>
      <w:bookmarkEnd w:id="28"/>
      <w:r w:rsidRPr="00BD06A0">
        <w:rPr>
          <w:lang w:val="es-419"/>
        </w:rPr>
        <w:tab/>
      </w: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0C6260A" wp14:editId="5CAE26F2">
            <wp:extent cx="5612112" cy="4627764"/>
            <wp:effectExtent l="0" t="0" r="8255"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3">
                      <a:extLst>
                        <a:ext uri="{28A0092B-C50C-407E-A947-70E740481C1C}">
                          <a14:useLocalDpi xmlns:a14="http://schemas.microsoft.com/office/drawing/2010/main" val="0"/>
                        </a:ext>
                      </a:extLst>
                    </a:blip>
                    <a:srcRect t="1649"/>
                    <a:stretch/>
                  </pic:blipFill>
                  <pic:spPr bwMode="auto">
                    <a:xfrm>
                      <a:off x="0" y="0"/>
                      <a:ext cx="5612130" cy="4627779"/>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2"/>
        <w:numPr>
          <w:ilvl w:val="0"/>
          <w:numId w:val="0"/>
        </w:numPr>
      </w:pPr>
      <w:bookmarkStart w:id="29" w:name="_Toc30823487"/>
      <w:r>
        <w:rPr>
          <w:lang w:val="es-419"/>
        </w:rPr>
        <w:lastRenderedPageBreak/>
        <w:t>10.2</w:t>
      </w:r>
      <w:proofErr w:type="gramStart"/>
      <w:r>
        <w:rPr>
          <w:lang w:val="es-419"/>
        </w:rPr>
        <w:t>.</w:t>
      </w:r>
      <w:r w:rsidRPr="000741E8">
        <w:t>Detalle</w:t>
      </w:r>
      <w:proofErr w:type="gramEnd"/>
      <w:r w:rsidRPr="000741E8">
        <w:t xml:space="preserve"> saldos y movimientos PPE – Inmuebles</w:t>
      </w:r>
      <w:bookmarkEnd w:id="29"/>
    </w:p>
    <w:p w:rsidR="0065290A" w:rsidRPr="000741E8" w:rsidRDefault="0065290A" w:rsidP="0065290A">
      <w:pPr>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30" w:name="_Toc30823488"/>
      <w:r w:rsidRPr="000741E8">
        <w:rPr>
          <w:rFonts w:cs="Times New Roman"/>
          <w:lang w:val="es-419"/>
        </w:rPr>
        <w:t>Anexo 10.2</w:t>
      </w:r>
      <w:bookmarkEnd w:id="30"/>
    </w:p>
    <w:p w:rsidR="0065290A" w:rsidRPr="000741E8" w:rsidRDefault="0065290A" w:rsidP="0065290A">
      <w:pPr>
        <w:rPr>
          <w:rFonts w:ascii="Times New Roman" w:hAnsi="Times New Roman"/>
          <w:sz w:val="24"/>
          <w:szCs w:val="24"/>
          <w:lang w:val="es-419"/>
        </w:rPr>
      </w:pPr>
    </w:p>
    <w:p w:rsidR="0065290A" w:rsidRPr="000741E8" w:rsidRDefault="0065290A" w:rsidP="0065290A">
      <w:pPr>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2018FF89" wp14:editId="7A0FFAA4">
            <wp:extent cx="5789568" cy="1839371"/>
            <wp:effectExtent l="0" t="0" r="190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8787" cy="1848654"/>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Se presenta deterioro en el terreo, debido a que el valor comercial establecido por establecido por el avalúo realizado en el año 2019 es menor al valor en libros.</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1"/>
        <w:rPr>
          <w:rFonts w:cs="Times New Roman"/>
          <w:sz w:val="24"/>
          <w:szCs w:val="24"/>
        </w:rPr>
      </w:pPr>
      <w:bookmarkStart w:id="31" w:name="_Toc30823489"/>
      <w:r w:rsidRPr="000741E8">
        <w:rPr>
          <w:rFonts w:cs="Times New Roman"/>
          <w:sz w:val="24"/>
          <w:szCs w:val="24"/>
        </w:rPr>
        <w:t>NOTA 13. PROPIEDADES DE INVERSIÓN</w:t>
      </w:r>
      <w:bookmarkEnd w:id="31"/>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32" w:name="_Toc30823490"/>
      <w:r w:rsidRPr="000741E8">
        <w:rPr>
          <w:rFonts w:cs="Times New Roman"/>
          <w:szCs w:val="24"/>
        </w:rPr>
        <w:t>Composición</w:t>
      </w:r>
      <w:bookmarkEnd w:id="32"/>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20F578B" wp14:editId="319E53FA">
            <wp:extent cx="5612130" cy="856439"/>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856439"/>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color w:val="000000"/>
          <w:sz w:val="24"/>
          <w:szCs w:val="24"/>
        </w:rPr>
        <w:t>El saldo a diciembre 31 de 201</w:t>
      </w:r>
      <w:r w:rsidRPr="000741E8">
        <w:rPr>
          <w:rFonts w:ascii="Times New Roman" w:hAnsi="Times New Roman"/>
          <w:color w:val="000000"/>
          <w:sz w:val="24"/>
          <w:szCs w:val="24"/>
          <w:lang w:val="es-419"/>
        </w:rPr>
        <w:t>9</w:t>
      </w:r>
      <w:r w:rsidRPr="000741E8">
        <w:rPr>
          <w:rFonts w:ascii="Times New Roman" w:hAnsi="Times New Roman"/>
          <w:color w:val="000000"/>
          <w:sz w:val="24"/>
          <w:szCs w:val="24"/>
        </w:rPr>
        <w:t xml:space="preserve"> es </w:t>
      </w:r>
      <w:r w:rsidRPr="000741E8">
        <w:rPr>
          <w:rFonts w:ascii="Times New Roman" w:hAnsi="Times New Roman"/>
          <w:color w:val="000000" w:themeColor="text1"/>
          <w:sz w:val="24"/>
          <w:szCs w:val="24"/>
        </w:rPr>
        <w:t>de $12.572.206</w:t>
      </w:r>
      <w:r w:rsidRPr="000741E8">
        <w:rPr>
          <w:rFonts w:ascii="Times New Roman" w:hAnsi="Times New Roman"/>
          <w:color w:val="000000" w:themeColor="text1"/>
          <w:sz w:val="24"/>
          <w:szCs w:val="24"/>
          <w:lang w:val="es-419"/>
        </w:rPr>
        <w:t>.000</w:t>
      </w:r>
      <w:r w:rsidRPr="000741E8">
        <w:rPr>
          <w:rFonts w:ascii="Times New Roman" w:hAnsi="Times New Roman"/>
          <w:color w:val="000000" w:themeColor="text1"/>
          <w:sz w:val="24"/>
          <w:szCs w:val="24"/>
        </w:rPr>
        <w:t xml:space="preserve"> </w:t>
      </w:r>
      <w:r w:rsidRPr="000741E8">
        <w:rPr>
          <w:rFonts w:ascii="Times New Roman" w:hAnsi="Times New Roman"/>
          <w:color w:val="000000"/>
          <w:sz w:val="24"/>
          <w:szCs w:val="24"/>
        </w:rPr>
        <w:t>corresponde al registro del bien inmueble pisos 33 a 37 y 13 parqueaderos del Edificio de Avianca propiedad de la Contraloría de Bogotá D.C., que se encuentra</w:t>
      </w:r>
      <w:r w:rsidRPr="000741E8">
        <w:rPr>
          <w:rFonts w:ascii="Times New Roman" w:hAnsi="Times New Roman"/>
          <w:color w:val="000000"/>
          <w:sz w:val="24"/>
          <w:szCs w:val="24"/>
          <w:lang w:val="es-419"/>
        </w:rPr>
        <w:t>n</w:t>
      </w:r>
      <w:r w:rsidRPr="000741E8">
        <w:rPr>
          <w:rFonts w:ascii="Times New Roman" w:hAnsi="Times New Roman"/>
          <w:color w:val="000000"/>
          <w:sz w:val="24"/>
          <w:szCs w:val="24"/>
        </w:rPr>
        <w:t xml:space="preserve"> en arrendamiento al Banco Agrario de </w:t>
      </w:r>
      <w:r w:rsidRPr="000741E8">
        <w:rPr>
          <w:rFonts w:ascii="Times New Roman" w:hAnsi="Times New Roman"/>
          <w:color w:val="000000" w:themeColor="text1"/>
          <w:sz w:val="24"/>
          <w:szCs w:val="24"/>
        </w:rPr>
        <w:t xml:space="preserve">Colombia a valor de mercado, </w:t>
      </w:r>
      <w:r w:rsidRPr="000741E8">
        <w:rPr>
          <w:rFonts w:ascii="Times New Roman" w:hAnsi="Times New Roman"/>
          <w:color w:val="000000"/>
          <w:sz w:val="24"/>
          <w:szCs w:val="24"/>
        </w:rPr>
        <w:t xml:space="preserve">es importante aclarar que en asamblea de la copropiedad realizada el 24 de julio de 2018, se autorizó la modernización de ascensores y a 31 de diciembre se </w:t>
      </w:r>
      <w:r w:rsidRPr="000741E8">
        <w:rPr>
          <w:rFonts w:ascii="Times New Roman" w:hAnsi="Times New Roman"/>
          <w:color w:val="000000"/>
          <w:sz w:val="24"/>
          <w:szCs w:val="24"/>
          <w:lang w:val="es-419"/>
        </w:rPr>
        <w:t xml:space="preserve">han </w:t>
      </w:r>
      <w:r w:rsidRPr="000741E8">
        <w:rPr>
          <w:rFonts w:ascii="Times New Roman" w:hAnsi="Times New Roman"/>
          <w:color w:val="000000"/>
          <w:sz w:val="24"/>
          <w:szCs w:val="24"/>
        </w:rPr>
        <w:t>cancela</w:t>
      </w:r>
      <w:r w:rsidRPr="000741E8">
        <w:rPr>
          <w:rFonts w:ascii="Times New Roman" w:hAnsi="Times New Roman"/>
          <w:color w:val="000000"/>
          <w:sz w:val="24"/>
          <w:szCs w:val="24"/>
          <w:lang w:val="es-419"/>
        </w:rPr>
        <w:t>do 16</w:t>
      </w:r>
      <w:r w:rsidRPr="000741E8">
        <w:rPr>
          <w:rFonts w:ascii="Times New Roman" w:hAnsi="Times New Roman"/>
          <w:color w:val="000000"/>
          <w:sz w:val="24"/>
          <w:szCs w:val="24"/>
        </w:rPr>
        <w:t xml:space="preserve"> cuotas</w:t>
      </w:r>
      <w:r w:rsidRPr="000741E8">
        <w:rPr>
          <w:rFonts w:ascii="Times New Roman" w:hAnsi="Times New Roman"/>
          <w:color w:val="000000"/>
          <w:sz w:val="24"/>
          <w:szCs w:val="24"/>
          <w:lang w:val="es-419"/>
        </w:rPr>
        <w:t>.</w:t>
      </w: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lang w:val="es-419"/>
        </w:rPr>
      </w:pPr>
      <w:bookmarkStart w:id="33" w:name="_Toc30823491"/>
      <w:r>
        <w:rPr>
          <w:rFonts w:cs="Times New Roman"/>
          <w:szCs w:val="24"/>
          <w:lang w:val="es-419"/>
        </w:rPr>
        <w:lastRenderedPageBreak/>
        <w:t>Anexo</w:t>
      </w:r>
      <w:r w:rsidRPr="000741E8">
        <w:rPr>
          <w:rFonts w:cs="Times New Roman"/>
          <w:szCs w:val="24"/>
          <w:lang w:val="es-419"/>
        </w:rPr>
        <w:t xml:space="preserve">  13.1 Detalle de saldos y movimientos</w:t>
      </w:r>
      <w:bookmarkEnd w:id="33"/>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noProof/>
          <w:sz w:val="24"/>
          <w:szCs w:val="24"/>
          <w:lang w:eastAsia="es-CO"/>
        </w:rPr>
        <w:drawing>
          <wp:anchor distT="0" distB="0" distL="114300" distR="114300" simplePos="0" relativeHeight="251659264" behindDoc="0" locked="0" layoutInCell="1" allowOverlap="1" wp14:anchorId="2208678D" wp14:editId="37795BDF">
            <wp:simplePos x="1079500" y="4355465"/>
            <wp:positionH relativeFrom="column">
              <wp:align>left</wp:align>
            </wp:positionH>
            <wp:positionV relativeFrom="paragraph">
              <wp:align>top</wp:align>
            </wp:positionV>
            <wp:extent cx="5234940" cy="254825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6">
                      <a:extLst>
                        <a:ext uri="{28A0092B-C50C-407E-A947-70E740481C1C}">
                          <a14:useLocalDpi xmlns:a14="http://schemas.microsoft.com/office/drawing/2010/main" val="0"/>
                        </a:ext>
                      </a:extLst>
                    </a:blip>
                    <a:srcRect l="6675" t="5091" b="4786"/>
                    <a:stretch/>
                  </pic:blipFill>
                  <pic:spPr bwMode="auto">
                    <a:xfrm>
                      <a:off x="0" y="0"/>
                      <a:ext cx="5234940" cy="2548255"/>
                    </a:xfrm>
                    <a:prstGeom prst="rect">
                      <a:avLst/>
                    </a:prstGeom>
                    <a:noFill/>
                    <a:ln>
                      <a:noFill/>
                    </a:ln>
                    <a:extLst>
                      <a:ext uri="{53640926-AAD7-44D8-BBD7-CCE9431645EC}">
                        <a14:shadowObscured xmlns:a14="http://schemas.microsoft.com/office/drawing/2010/main"/>
                      </a:ext>
                    </a:extLst>
                  </pic:spPr>
                </pic:pic>
              </a:graphicData>
            </a:graphic>
          </wp:anchor>
        </w:drawing>
      </w:r>
      <w:r w:rsidRPr="000741E8">
        <w:rPr>
          <w:rFonts w:ascii="Times New Roman" w:hAnsi="Times New Roman"/>
          <w:b/>
          <w:sz w:val="24"/>
          <w:szCs w:val="24"/>
          <w:lang w:val="es-419"/>
        </w:rPr>
        <w:br w:type="textWrapping" w:clear="all"/>
      </w:r>
    </w:p>
    <w:p w:rsidR="0065290A" w:rsidRPr="000741E8" w:rsidRDefault="0065290A" w:rsidP="0065290A">
      <w:pPr>
        <w:pStyle w:val="Ttulo2"/>
        <w:numPr>
          <w:ilvl w:val="0"/>
          <w:numId w:val="0"/>
        </w:numPr>
        <w:rPr>
          <w:rFonts w:cs="Times New Roman"/>
          <w:szCs w:val="24"/>
          <w:lang w:val="es-419"/>
        </w:rPr>
      </w:pPr>
      <w:bookmarkStart w:id="34" w:name="_Toc30823492"/>
      <w:r w:rsidRPr="000741E8">
        <w:rPr>
          <w:rFonts w:cs="Times New Roman"/>
          <w:szCs w:val="24"/>
          <w:lang w:val="es-419"/>
        </w:rPr>
        <w:t>Anexo – 13.2 Revelaciones Adicionales</w:t>
      </w:r>
      <w:bookmarkEnd w:id="34"/>
    </w:p>
    <w:p w:rsidR="0065290A" w:rsidRPr="000741E8" w:rsidRDefault="0065290A" w:rsidP="0065290A">
      <w:pPr>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45C65713" wp14:editId="65073E4E">
            <wp:extent cx="5221898" cy="581025"/>
            <wp:effectExtent l="19050" t="19050" r="1714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a:extLst>
                        <a:ext uri="{28A0092B-C50C-407E-A947-70E740481C1C}">
                          <a14:useLocalDpi xmlns:a14="http://schemas.microsoft.com/office/drawing/2010/main" val="0"/>
                        </a:ext>
                      </a:extLst>
                    </a:blip>
                    <a:srcRect l="6810" t="20634"/>
                    <a:stretch/>
                  </pic:blipFill>
                  <pic:spPr bwMode="auto">
                    <a:xfrm>
                      <a:off x="0" y="0"/>
                      <a:ext cx="5229942" cy="58192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El saldo de $1.069.684.520, corresponde a ingresos por arrendamiento durante la vigencia 2019.</w:t>
      </w:r>
    </w:p>
    <w:p w:rsidR="0065290A" w:rsidRDefault="0065290A" w:rsidP="0065290A">
      <w:pPr>
        <w:pStyle w:val="Ttulo1"/>
        <w:rPr>
          <w:rFonts w:cs="Times New Roman"/>
          <w:sz w:val="24"/>
          <w:szCs w:val="24"/>
        </w:rPr>
      </w:pPr>
      <w:bookmarkStart w:id="35" w:name="_Toc30823493"/>
    </w:p>
    <w:p w:rsidR="0065290A" w:rsidRPr="000741E8" w:rsidRDefault="0065290A" w:rsidP="0065290A">
      <w:pPr>
        <w:pStyle w:val="Ttulo1"/>
        <w:rPr>
          <w:rFonts w:cs="Times New Roman"/>
          <w:sz w:val="24"/>
          <w:szCs w:val="24"/>
        </w:rPr>
      </w:pPr>
      <w:r w:rsidRPr="000741E8">
        <w:rPr>
          <w:rFonts w:cs="Times New Roman"/>
          <w:sz w:val="24"/>
          <w:szCs w:val="24"/>
        </w:rPr>
        <w:t>NOTA 14. ACTIVOS INTANGIBLES</w:t>
      </w:r>
      <w:bookmarkEnd w:id="35"/>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36" w:name="_Toc30823494"/>
      <w:r w:rsidRPr="000741E8">
        <w:rPr>
          <w:rFonts w:cs="Times New Roman"/>
          <w:szCs w:val="24"/>
        </w:rPr>
        <w:t>Composición</w:t>
      </w:r>
      <w:bookmarkEnd w:id="36"/>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61EE1E56" wp14:editId="070EA795">
            <wp:extent cx="5612130" cy="1061330"/>
            <wp:effectExtent l="0" t="0" r="7620" b="571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061330"/>
                    </a:xfrm>
                    <a:prstGeom prst="rect">
                      <a:avLst/>
                    </a:prstGeom>
                    <a:noFill/>
                    <a:ln>
                      <a:noFill/>
                    </a:ln>
                  </pic:spPr>
                </pic:pic>
              </a:graphicData>
            </a:graphic>
          </wp:inline>
        </w:drawing>
      </w:r>
    </w:p>
    <w:p w:rsidR="0065290A" w:rsidRDefault="0065290A" w:rsidP="0065290A">
      <w:pPr>
        <w:jc w:val="both"/>
        <w:rPr>
          <w:rFonts w:ascii="Arial" w:hAnsi="Arial" w:cs="Arial"/>
          <w:color w:val="000000"/>
          <w:sz w:val="24"/>
          <w:szCs w:val="24"/>
        </w:rPr>
      </w:pPr>
      <w:r>
        <w:rPr>
          <w:rFonts w:ascii="Arial" w:hAnsi="Arial" w:cs="Arial"/>
          <w:color w:val="000000"/>
          <w:sz w:val="24"/>
          <w:szCs w:val="24"/>
        </w:rPr>
        <w:t xml:space="preserve">La Contraloría de Bogotá continua con el Comodato No.051 de 2013 – en donde entregó a la </w:t>
      </w:r>
      <w:proofErr w:type="spellStart"/>
      <w:r>
        <w:rPr>
          <w:rFonts w:ascii="Arial" w:hAnsi="Arial" w:cs="Arial"/>
          <w:color w:val="000000"/>
          <w:sz w:val="24"/>
          <w:szCs w:val="24"/>
        </w:rPr>
        <w:t>Registradura</w:t>
      </w:r>
      <w:proofErr w:type="spellEnd"/>
      <w:r>
        <w:rPr>
          <w:rFonts w:ascii="Arial" w:hAnsi="Arial" w:cs="Arial"/>
          <w:color w:val="000000"/>
          <w:sz w:val="24"/>
          <w:szCs w:val="24"/>
        </w:rPr>
        <w:t xml:space="preserve"> Nacional del Estado Civil la casa ubicada en la AK 28 35 24 hasta el 28 de febrero de 2.020, la cuál ha sido renovada continuamente y quien maneja el control es la </w:t>
      </w:r>
      <w:proofErr w:type="spellStart"/>
      <w:r>
        <w:rPr>
          <w:rFonts w:ascii="Arial" w:hAnsi="Arial" w:cs="Arial"/>
          <w:color w:val="000000"/>
          <w:sz w:val="24"/>
          <w:szCs w:val="24"/>
        </w:rPr>
        <w:t>Registraduría</w:t>
      </w:r>
      <w:proofErr w:type="spellEnd"/>
      <w:r>
        <w:rPr>
          <w:rFonts w:ascii="Arial" w:hAnsi="Arial" w:cs="Arial"/>
          <w:color w:val="000000"/>
          <w:sz w:val="24"/>
          <w:szCs w:val="24"/>
        </w:rPr>
        <w:t>, este bien se encuentra registrado a valor de mercado en cuentas de orden 8347 Bienes entregados a terceros ya que sobre estos inmuebles la Contraloría de Bogotá no tiene el control.</w:t>
      </w:r>
    </w:p>
    <w:p w:rsidR="0065290A" w:rsidRDefault="0065290A" w:rsidP="0065290A">
      <w:pPr>
        <w:rPr>
          <w:rFonts w:ascii="Times New Roman" w:hAnsi="Times New Roman"/>
          <w:sz w:val="24"/>
          <w:szCs w:val="24"/>
        </w:rPr>
      </w:pPr>
    </w:p>
    <w:p w:rsidR="0065290A"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sz w:val="24"/>
          <w:szCs w:val="24"/>
        </w:rPr>
        <w:t>Los activos intangibles corresponderán a aquellos que su costo de adquisición sea = ò &gt; a 2 SMMLV.</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Existirán intangibles de control administrativo con control contable registrados en cuentas de orden (Consumo Controlado) los cuales corresponden a bienes cuyo costo histórico sea &lt; 2 SM.M.L.V.</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Estos intangibles siguen conservando la categoría de devolutivos y por lo tanto permanecerán en el aplicativo SAI hasta que se den de baja, teniendo en cuenta que conservarán su placa de inventario y en adelante estarán sujetos a Control Administrativo (CA) y contable en cuentas de orden, para efectos de seguimiento y manejo administrativo y contable seguirán formando parte del inventario de cada funcionario responsable del bien a cargo, estos bienes no estarán sujetos a cálculo de amortización.</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 xml:space="preserve">Los intangibles que son propiedad de la Contraloría de Bogotá cumplen funciones administrativas dentro de la función pública que desarrolla la Entidad por lo tanto sufren un desgaste homogéneo por el uso y es constante con el paso del tiempo, por lo cual se determina usar el método de amortización de </w:t>
      </w:r>
      <w:r w:rsidRPr="000741E8">
        <w:rPr>
          <w:rFonts w:ascii="Times New Roman" w:hAnsi="Times New Roman"/>
          <w:i/>
          <w:sz w:val="24"/>
          <w:szCs w:val="24"/>
        </w:rPr>
        <w:t>línea recta</w:t>
      </w:r>
      <w:r w:rsidRPr="000741E8">
        <w:rPr>
          <w:rFonts w:ascii="Times New Roman" w:hAnsi="Times New Roman"/>
          <w:sz w:val="24"/>
          <w:szCs w:val="24"/>
        </w:rPr>
        <w:t>, para reflejar una amortización constante de los mismos.</w:t>
      </w:r>
    </w:p>
    <w:p w:rsidR="0065290A" w:rsidRDefault="0065290A" w:rsidP="0065290A">
      <w:pPr>
        <w:jc w:val="both"/>
        <w:rPr>
          <w:rFonts w:ascii="Times New Roman" w:hAnsi="Times New Roman"/>
          <w:sz w:val="24"/>
          <w:szCs w:val="24"/>
          <w:lang w:val="es-419"/>
        </w:rPr>
      </w:pPr>
    </w:p>
    <w:p w:rsidR="0065290A" w:rsidRPr="00BD06A0" w:rsidRDefault="0065290A" w:rsidP="0065290A">
      <w:pPr>
        <w:jc w:val="both"/>
        <w:rPr>
          <w:rFonts w:ascii="Times New Roman" w:hAnsi="Times New Roman"/>
          <w:b/>
          <w:sz w:val="24"/>
          <w:szCs w:val="24"/>
        </w:rPr>
      </w:pPr>
      <w:r w:rsidRPr="00BD06A0">
        <w:rPr>
          <w:rFonts w:ascii="Times New Roman" w:hAnsi="Times New Roman"/>
          <w:b/>
          <w:sz w:val="24"/>
          <w:szCs w:val="24"/>
          <w:lang w:val="es-419"/>
        </w:rPr>
        <w:t>Deterioro</w:t>
      </w:r>
    </w:p>
    <w:p w:rsidR="0065290A" w:rsidRPr="000741E8" w:rsidRDefault="0065290A" w:rsidP="0065290A">
      <w:pPr>
        <w:rPr>
          <w:rFonts w:ascii="Times New Roman" w:hAnsi="Times New Roman"/>
          <w:sz w:val="24"/>
          <w:szCs w:val="24"/>
          <w:lang w:val="es-419"/>
        </w:rPr>
      </w:pP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Para efectos de determinar el deterioro de acuerdo a la política de deterioro para activos no generadores de efectivo se aplicó para los intangibles superiores a 35 SMMLV al cierre del periodo contable 2.019, se realizó revisión de indicios de deterioro de 30 intangibles con base en valores de mercado y/o costo de reposición a nuevo ajustado por depreciación, revisión que fue realizada por profesionales de la Dirección de Tecnologías de la Información con el apoyo de la Subdirección Financiera.</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En la vigencia 2019 se realizó baja del intangible con placa 419702 denominado ZAFIRO, con Resolución 3271 del 24 de diciembre de 2019.</w:t>
      </w: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rPr>
        <w:t>Como resultado de los indicios deterioro de la vigencia 2019 se determinó reversar el deterioro calculado en la vigencia 2018 de 1 intangible  SQL SERVER 2000 STANDARD SPANISH EDITION por valor de $6.854.527.</w:t>
      </w:r>
    </w:p>
    <w:p w:rsidR="0065290A" w:rsidRDefault="0065290A" w:rsidP="0065290A">
      <w:pPr>
        <w:pStyle w:val="Ttulo2"/>
        <w:numPr>
          <w:ilvl w:val="0"/>
          <w:numId w:val="0"/>
        </w:numPr>
        <w:rPr>
          <w:rFonts w:eastAsia="Calibri" w:cs="Times New Roman"/>
          <w:b w:val="0"/>
          <w:color w:val="auto"/>
          <w:szCs w:val="24"/>
        </w:rPr>
      </w:pPr>
    </w:p>
    <w:p w:rsidR="0065290A" w:rsidRDefault="0065290A" w:rsidP="0065290A"/>
    <w:p w:rsidR="0065290A" w:rsidRPr="00494CAD" w:rsidRDefault="0065290A" w:rsidP="0065290A"/>
    <w:p w:rsidR="0065290A" w:rsidRPr="000741E8" w:rsidRDefault="0065290A" w:rsidP="0065290A">
      <w:pPr>
        <w:pStyle w:val="Ttulo2"/>
        <w:numPr>
          <w:ilvl w:val="0"/>
          <w:numId w:val="0"/>
        </w:numPr>
        <w:rPr>
          <w:rFonts w:cs="Times New Roman"/>
          <w:szCs w:val="24"/>
          <w:lang w:val="es-419"/>
        </w:rPr>
      </w:pPr>
      <w:bookmarkStart w:id="37" w:name="_Toc30823495"/>
      <w:r w:rsidRPr="000741E8">
        <w:rPr>
          <w:rFonts w:cs="Times New Roman"/>
          <w:szCs w:val="24"/>
          <w:lang w:val="es-419"/>
        </w:rPr>
        <w:lastRenderedPageBreak/>
        <w:t>Vida útil</w:t>
      </w:r>
      <w:bookmarkEnd w:id="37"/>
    </w:p>
    <w:p w:rsidR="0065290A" w:rsidRPr="000741E8" w:rsidRDefault="0065290A" w:rsidP="0065290A">
      <w:pPr>
        <w:rPr>
          <w:rFonts w:ascii="Times New Roman" w:hAnsi="Times New Roman"/>
          <w:sz w:val="24"/>
          <w:szCs w:val="24"/>
          <w:lang w:val="es-419"/>
        </w:rPr>
      </w:pPr>
    </w:p>
    <w:p w:rsidR="0065290A" w:rsidRPr="000741E8" w:rsidRDefault="0065290A" w:rsidP="0065290A">
      <w:pPr>
        <w:jc w:val="both"/>
        <w:rPr>
          <w:rFonts w:ascii="Times New Roman" w:hAnsi="Times New Roman"/>
          <w:sz w:val="24"/>
          <w:szCs w:val="24"/>
          <w:lang w:val="es-419"/>
        </w:rPr>
      </w:pPr>
      <w:r w:rsidRPr="000741E8">
        <w:rPr>
          <w:rFonts w:ascii="Times New Roman" w:hAnsi="Times New Roman"/>
          <w:sz w:val="24"/>
          <w:szCs w:val="24"/>
        </w:rPr>
        <w:t xml:space="preserve">De acuerdo a la revisión anual de las vidas útiles por parte de la Dirección de Tecnologías de la Información y las comunicaciones realizada en la vigencia 2018 para la vigencia 2019 existían 11 placas de licencias, 1 de software y 1 de otros intangibles que requerían ampliación de la vida útil existente, lo cual se encuentra ajustado en el módulo de inventarios. Así mismo se realizó la verificación de la vida útil de los intangibles existentes a 31 de diciembre de 2019, para </w:t>
      </w:r>
      <w:r w:rsidRPr="000741E8">
        <w:rPr>
          <w:rFonts w:ascii="Times New Roman" w:hAnsi="Times New Roman"/>
          <w:sz w:val="24"/>
          <w:szCs w:val="24"/>
          <w:lang w:val="es-419"/>
        </w:rPr>
        <w:t>efectuar</w:t>
      </w:r>
      <w:r w:rsidRPr="000741E8">
        <w:rPr>
          <w:rFonts w:ascii="Times New Roman" w:hAnsi="Times New Roman"/>
          <w:sz w:val="24"/>
          <w:szCs w:val="24"/>
        </w:rPr>
        <w:t xml:space="preserve"> cambios en la vigencia 2020 con el fin de </w:t>
      </w:r>
      <w:r w:rsidRPr="000741E8">
        <w:rPr>
          <w:rFonts w:ascii="Times New Roman" w:hAnsi="Times New Roman"/>
          <w:sz w:val="24"/>
          <w:szCs w:val="24"/>
          <w:lang w:val="es-419"/>
        </w:rPr>
        <w:t xml:space="preserve">la </w:t>
      </w:r>
      <w:r w:rsidRPr="000741E8">
        <w:rPr>
          <w:rFonts w:ascii="Times New Roman" w:hAnsi="Times New Roman"/>
          <w:sz w:val="24"/>
          <w:szCs w:val="24"/>
        </w:rPr>
        <w:t>aplicación uniforme durante la vigencia del nuevo valor de amortización. El siguiente cuadro presenta los cambios en estimación de intangibles por efecto de la vida útil realizada en la vigencia 2019</w:t>
      </w:r>
      <w:r w:rsidRPr="000741E8">
        <w:rPr>
          <w:rFonts w:ascii="Times New Roman" w:hAnsi="Times New Roman"/>
          <w:sz w:val="24"/>
          <w:szCs w:val="24"/>
          <w:lang w:val="es-419"/>
        </w:rPr>
        <w:t>.</w:t>
      </w:r>
    </w:p>
    <w:p w:rsidR="0065290A" w:rsidRDefault="0065290A" w:rsidP="0065290A">
      <w:pPr>
        <w:pStyle w:val="Ttulo3"/>
        <w:rPr>
          <w:rFonts w:cs="Times New Roman"/>
          <w:highlight w:val="cyan"/>
          <w:lang w:val="es-419"/>
        </w:rPr>
      </w:pPr>
    </w:p>
    <w:p w:rsidR="0065290A" w:rsidRPr="000741E8" w:rsidRDefault="0065290A" w:rsidP="0065290A">
      <w:pPr>
        <w:rPr>
          <w:rFonts w:ascii="Times New Roman" w:hAnsi="Times New Roman"/>
          <w:b/>
          <w:sz w:val="24"/>
          <w:szCs w:val="24"/>
          <w:highlight w:val="cyan"/>
        </w:rPr>
      </w:pPr>
    </w:p>
    <w:tbl>
      <w:tblPr>
        <w:tblW w:w="8217" w:type="dxa"/>
        <w:jc w:val="center"/>
        <w:tblCellMar>
          <w:left w:w="70" w:type="dxa"/>
          <w:right w:w="70" w:type="dxa"/>
        </w:tblCellMar>
        <w:tblLook w:val="04A0" w:firstRow="1" w:lastRow="0" w:firstColumn="1" w:lastColumn="0" w:noHBand="0" w:noVBand="1"/>
      </w:tblPr>
      <w:tblGrid>
        <w:gridCol w:w="1221"/>
        <w:gridCol w:w="1667"/>
        <w:gridCol w:w="1276"/>
        <w:gridCol w:w="1134"/>
        <w:gridCol w:w="1647"/>
        <w:gridCol w:w="1272"/>
      </w:tblGrid>
      <w:tr w:rsidR="0065290A" w:rsidRPr="000741E8" w:rsidTr="00362D6D">
        <w:trPr>
          <w:trHeight w:val="786"/>
          <w:jc w:val="center"/>
        </w:trPr>
        <w:tc>
          <w:tcPr>
            <w:tcW w:w="1221"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Subcuenta</w:t>
            </w:r>
          </w:p>
        </w:tc>
        <w:tc>
          <w:tcPr>
            <w:tcW w:w="1667" w:type="dxa"/>
            <w:tcBorders>
              <w:top w:val="single" w:sz="4" w:space="0" w:color="auto"/>
              <w:left w:val="nil"/>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Descripción</w:t>
            </w:r>
          </w:p>
        </w:tc>
        <w:tc>
          <w:tcPr>
            <w:tcW w:w="1276" w:type="dxa"/>
            <w:tcBorders>
              <w:top w:val="single" w:sz="4" w:space="0" w:color="auto"/>
              <w:left w:val="nil"/>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No. Placas ajustadas</w:t>
            </w:r>
          </w:p>
        </w:tc>
        <w:tc>
          <w:tcPr>
            <w:tcW w:w="1134" w:type="dxa"/>
            <w:tcBorders>
              <w:top w:val="single" w:sz="4" w:space="0" w:color="auto"/>
              <w:left w:val="nil"/>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Vida útil inicial en meses</w:t>
            </w:r>
          </w:p>
        </w:tc>
        <w:tc>
          <w:tcPr>
            <w:tcW w:w="1647" w:type="dxa"/>
            <w:tcBorders>
              <w:top w:val="single" w:sz="4" w:space="0" w:color="auto"/>
              <w:left w:val="nil"/>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 xml:space="preserve">No. meses incrementados vida útil </w:t>
            </w:r>
          </w:p>
        </w:tc>
        <w:tc>
          <w:tcPr>
            <w:tcW w:w="1272" w:type="dxa"/>
            <w:tcBorders>
              <w:top w:val="single" w:sz="4" w:space="0" w:color="auto"/>
              <w:left w:val="nil"/>
              <w:bottom w:val="single" w:sz="4" w:space="0" w:color="auto"/>
              <w:right w:val="single" w:sz="4" w:space="0" w:color="auto"/>
            </w:tcBorders>
            <w:shd w:val="clear" w:color="000000" w:fill="9BC2E6"/>
            <w:vAlign w:val="center"/>
            <w:hideMark/>
          </w:tcPr>
          <w:p w:rsidR="0065290A" w:rsidRPr="000741E8" w:rsidRDefault="0065290A" w:rsidP="00362D6D">
            <w:pPr>
              <w:spacing w:after="0" w:line="240" w:lineRule="auto"/>
              <w:rPr>
                <w:rFonts w:ascii="Times New Roman" w:eastAsia="Times New Roman" w:hAnsi="Times New Roman"/>
                <w:b/>
                <w:bCs/>
                <w:color w:val="000000"/>
                <w:sz w:val="24"/>
                <w:szCs w:val="24"/>
                <w:lang w:eastAsia="es-CO"/>
              </w:rPr>
            </w:pPr>
            <w:r w:rsidRPr="000741E8">
              <w:rPr>
                <w:rFonts w:ascii="Times New Roman" w:eastAsia="Times New Roman" w:hAnsi="Times New Roman"/>
                <w:b/>
                <w:bCs/>
                <w:color w:val="000000"/>
                <w:sz w:val="24"/>
                <w:szCs w:val="24"/>
                <w:lang w:eastAsia="es-CO"/>
              </w:rPr>
              <w:t>Vida útil ajustada en meses</w:t>
            </w:r>
          </w:p>
        </w:tc>
      </w:tr>
      <w:tr w:rsidR="0065290A" w:rsidRPr="000741E8" w:rsidTr="00362D6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1-9-70-07</w:t>
            </w:r>
          </w:p>
        </w:tc>
        <w:tc>
          <w:tcPr>
            <w:tcW w:w="166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 xml:space="preserve">Licencias </w:t>
            </w:r>
          </w:p>
        </w:tc>
        <w:tc>
          <w:tcPr>
            <w:tcW w:w="1276"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10</w:t>
            </w:r>
          </w:p>
        </w:tc>
        <w:tc>
          <w:tcPr>
            <w:tcW w:w="1134"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60</w:t>
            </w:r>
          </w:p>
        </w:tc>
        <w:tc>
          <w:tcPr>
            <w:tcW w:w="164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36</w:t>
            </w:r>
          </w:p>
        </w:tc>
        <w:tc>
          <w:tcPr>
            <w:tcW w:w="1272"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96</w:t>
            </w:r>
          </w:p>
        </w:tc>
      </w:tr>
      <w:tr w:rsidR="0065290A" w:rsidRPr="000741E8" w:rsidTr="00362D6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1-9-70-07</w:t>
            </w:r>
          </w:p>
        </w:tc>
        <w:tc>
          <w:tcPr>
            <w:tcW w:w="166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 xml:space="preserve">Licencias </w:t>
            </w:r>
          </w:p>
        </w:tc>
        <w:tc>
          <w:tcPr>
            <w:tcW w:w="1276"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11</w:t>
            </w:r>
          </w:p>
        </w:tc>
        <w:tc>
          <w:tcPr>
            <w:tcW w:w="1134"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119</w:t>
            </w:r>
          </w:p>
        </w:tc>
        <w:tc>
          <w:tcPr>
            <w:tcW w:w="164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25</w:t>
            </w:r>
          </w:p>
        </w:tc>
        <w:tc>
          <w:tcPr>
            <w:tcW w:w="1272"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144</w:t>
            </w:r>
          </w:p>
        </w:tc>
      </w:tr>
      <w:tr w:rsidR="0065290A" w:rsidRPr="000741E8" w:rsidTr="00362D6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1-9-70-08</w:t>
            </w:r>
          </w:p>
        </w:tc>
        <w:tc>
          <w:tcPr>
            <w:tcW w:w="166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Software</w:t>
            </w:r>
          </w:p>
        </w:tc>
        <w:tc>
          <w:tcPr>
            <w:tcW w:w="1276"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110,3</w:t>
            </w:r>
          </w:p>
        </w:tc>
        <w:tc>
          <w:tcPr>
            <w:tcW w:w="164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w:t>
            </w:r>
          </w:p>
        </w:tc>
        <w:tc>
          <w:tcPr>
            <w:tcW w:w="1272"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111,3</w:t>
            </w:r>
          </w:p>
        </w:tc>
      </w:tr>
      <w:tr w:rsidR="0065290A" w:rsidRPr="000741E8" w:rsidTr="00362D6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1-9-70-90</w:t>
            </w:r>
          </w:p>
        </w:tc>
        <w:tc>
          <w:tcPr>
            <w:tcW w:w="166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Otros intangibles</w:t>
            </w:r>
          </w:p>
        </w:tc>
        <w:tc>
          <w:tcPr>
            <w:tcW w:w="1276"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60</w:t>
            </w:r>
          </w:p>
        </w:tc>
        <w:tc>
          <w:tcPr>
            <w:tcW w:w="1647"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36</w:t>
            </w:r>
          </w:p>
        </w:tc>
        <w:tc>
          <w:tcPr>
            <w:tcW w:w="1272" w:type="dxa"/>
            <w:tcBorders>
              <w:top w:val="nil"/>
              <w:left w:val="nil"/>
              <w:bottom w:val="single" w:sz="4" w:space="0" w:color="auto"/>
              <w:right w:val="single" w:sz="4" w:space="0" w:color="auto"/>
            </w:tcBorders>
            <w:shd w:val="clear" w:color="auto" w:fill="auto"/>
            <w:noWrap/>
            <w:vAlign w:val="bottom"/>
            <w:hideMark/>
          </w:tcPr>
          <w:p w:rsidR="0065290A" w:rsidRPr="000741E8" w:rsidRDefault="0065290A" w:rsidP="00362D6D">
            <w:pPr>
              <w:spacing w:after="0" w:line="240" w:lineRule="auto"/>
              <w:jc w:val="right"/>
              <w:rPr>
                <w:rFonts w:ascii="Times New Roman" w:eastAsia="Times New Roman" w:hAnsi="Times New Roman"/>
                <w:color w:val="000000"/>
                <w:sz w:val="24"/>
                <w:szCs w:val="24"/>
                <w:lang w:eastAsia="es-CO"/>
              </w:rPr>
            </w:pPr>
            <w:r w:rsidRPr="000741E8">
              <w:rPr>
                <w:rFonts w:ascii="Times New Roman" w:eastAsia="Times New Roman" w:hAnsi="Times New Roman"/>
                <w:color w:val="000000"/>
                <w:sz w:val="24"/>
                <w:szCs w:val="24"/>
                <w:lang w:eastAsia="es-CO"/>
              </w:rPr>
              <w:t>96</w:t>
            </w:r>
          </w:p>
        </w:tc>
      </w:tr>
    </w:tbl>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2"/>
        <w:numPr>
          <w:ilvl w:val="1"/>
          <w:numId w:val="18"/>
        </w:numPr>
        <w:ind w:left="567" w:hanging="567"/>
        <w:rPr>
          <w:rFonts w:cs="Times New Roman"/>
          <w:szCs w:val="24"/>
        </w:rPr>
      </w:pPr>
      <w:bookmarkStart w:id="38" w:name="_Toc30823497"/>
      <w:r w:rsidRPr="000741E8">
        <w:rPr>
          <w:rFonts w:cs="Times New Roman"/>
          <w:szCs w:val="24"/>
        </w:rPr>
        <w:t>Detalle saldos y movimientos</w:t>
      </w:r>
      <w:bookmarkEnd w:id="38"/>
    </w:p>
    <w:p w:rsidR="0065290A" w:rsidRPr="000741E8" w:rsidRDefault="0065290A" w:rsidP="0065290A">
      <w:pPr>
        <w:rPr>
          <w:rFonts w:ascii="Times New Roman" w:hAnsi="Times New Roman"/>
          <w:sz w:val="24"/>
          <w:szCs w:val="24"/>
        </w:rPr>
      </w:pPr>
    </w:p>
    <w:p w:rsidR="0065290A" w:rsidRPr="000741E8" w:rsidRDefault="0065290A" w:rsidP="0065290A">
      <w:pPr>
        <w:pStyle w:val="Ttulo2"/>
        <w:numPr>
          <w:ilvl w:val="0"/>
          <w:numId w:val="0"/>
        </w:numPr>
        <w:rPr>
          <w:rFonts w:cs="Times New Roman"/>
          <w:szCs w:val="24"/>
          <w:lang w:val="es-419"/>
        </w:rPr>
      </w:pPr>
      <w:bookmarkStart w:id="39" w:name="_Toc30823498"/>
      <w:r w:rsidRPr="000741E8">
        <w:rPr>
          <w:rFonts w:cs="Times New Roman"/>
          <w:b w:val="0"/>
          <w:szCs w:val="24"/>
          <w:lang w:val="es-419"/>
        </w:rPr>
        <w:t>Anexo 14.1 – Detalle Saldos y Movimientos</w:t>
      </w:r>
      <w:bookmarkEnd w:id="39"/>
    </w:p>
    <w:p w:rsidR="0065290A" w:rsidRPr="000741E8" w:rsidRDefault="0065290A" w:rsidP="0065290A">
      <w:pPr>
        <w:spacing w:after="0" w:line="240" w:lineRule="auto"/>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83FA68A" wp14:editId="1CE4EACE">
            <wp:extent cx="5690034" cy="1061085"/>
            <wp:effectExtent l="0" t="0" r="635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6564" cy="1062303"/>
                    </a:xfrm>
                    <a:prstGeom prst="rect">
                      <a:avLst/>
                    </a:prstGeom>
                    <a:noFill/>
                    <a:ln>
                      <a:noFill/>
                    </a:ln>
                  </pic:spPr>
                </pic:pic>
              </a:graphicData>
            </a:graphic>
          </wp:inline>
        </w:drawing>
      </w:r>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pStyle w:val="Ttulo2"/>
        <w:numPr>
          <w:ilvl w:val="0"/>
          <w:numId w:val="0"/>
        </w:numPr>
        <w:ind w:left="720" w:hanging="360"/>
        <w:rPr>
          <w:rFonts w:cs="Times New Roman"/>
          <w:b w:val="0"/>
          <w:szCs w:val="24"/>
          <w:lang w:val="es-419"/>
        </w:rPr>
      </w:pPr>
      <w:bookmarkStart w:id="40" w:name="_Toc30823499"/>
      <w:r w:rsidRPr="000741E8">
        <w:rPr>
          <w:rFonts w:cs="Times New Roman"/>
          <w:b w:val="0"/>
          <w:szCs w:val="24"/>
          <w:lang w:val="es-419"/>
        </w:rPr>
        <w:t>Anexo 14.2 – Revelaciones Adicionales</w:t>
      </w:r>
      <w:bookmarkEnd w:id="40"/>
    </w:p>
    <w:p w:rsidR="0065290A" w:rsidRPr="000741E8" w:rsidRDefault="0065290A" w:rsidP="0065290A">
      <w:pPr>
        <w:spacing w:after="0" w:line="240" w:lineRule="auto"/>
        <w:ind w:left="360"/>
        <w:jc w:val="both"/>
        <w:rPr>
          <w:rFonts w:ascii="Times New Roman" w:hAnsi="Times New Roman"/>
          <w:noProof/>
          <w:sz w:val="24"/>
          <w:szCs w:val="24"/>
          <w:lang w:eastAsia="es-CO"/>
        </w:rPr>
      </w:pPr>
    </w:p>
    <w:p w:rsidR="0065290A" w:rsidRPr="000741E8" w:rsidRDefault="0065290A" w:rsidP="0065290A">
      <w:pPr>
        <w:spacing w:after="0" w:line="240" w:lineRule="auto"/>
        <w:ind w:left="360"/>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15109F2E" wp14:editId="39B75FFC">
            <wp:extent cx="5278120" cy="131720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5904" t="15280"/>
                    <a:stretch/>
                  </pic:blipFill>
                  <pic:spPr bwMode="auto">
                    <a:xfrm>
                      <a:off x="0" y="0"/>
                      <a:ext cx="5280797" cy="1317875"/>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spacing w:after="0" w:line="240" w:lineRule="auto"/>
        <w:jc w:val="center"/>
        <w:rPr>
          <w:rFonts w:ascii="Times New Roman" w:hAnsi="Times New Roman"/>
          <w:sz w:val="24"/>
          <w:szCs w:val="24"/>
        </w:rPr>
      </w:pPr>
    </w:p>
    <w:p w:rsidR="0065290A" w:rsidRDefault="0065290A" w:rsidP="0065290A">
      <w:pPr>
        <w:pStyle w:val="Ttulo1"/>
        <w:rPr>
          <w:lang w:val="es-419"/>
        </w:rPr>
      </w:pPr>
      <w:r>
        <w:rPr>
          <w:lang w:val="es-419"/>
        </w:rPr>
        <w:t>NOTA 16  DERECHOS Y GARANTÍAS</w:t>
      </w:r>
    </w:p>
    <w:p w:rsidR="0065290A" w:rsidRPr="006F33BA" w:rsidRDefault="0065290A" w:rsidP="0065290A">
      <w:pPr>
        <w:rPr>
          <w:lang w:val="es-419"/>
        </w:rPr>
      </w:pPr>
    </w:p>
    <w:p w:rsidR="0065290A" w:rsidRPr="006F33BA" w:rsidRDefault="0065290A" w:rsidP="0065290A">
      <w:pPr>
        <w:jc w:val="both"/>
        <w:rPr>
          <w:rFonts w:ascii="Arial" w:hAnsi="Arial" w:cs="Arial"/>
          <w:b/>
          <w:color w:val="000000"/>
          <w:sz w:val="24"/>
          <w:szCs w:val="24"/>
          <w:lang w:val="es-419"/>
        </w:rPr>
      </w:pPr>
      <w:r>
        <w:rPr>
          <w:rFonts w:ascii="Arial" w:hAnsi="Arial" w:cs="Arial"/>
          <w:b/>
          <w:color w:val="000000"/>
          <w:sz w:val="24"/>
          <w:szCs w:val="24"/>
          <w:lang w:val="es-419"/>
        </w:rPr>
        <w:t>Composición</w:t>
      </w:r>
    </w:p>
    <w:tbl>
      <w:tblPr>
        <w:tblW w:w="7088" w:type="dxa"/>
        <w:tblInd w:w="704" w:type="dxa"/>
        <w:tblCellMar>
          <w:left w:w="70" w:type="dxa"/>
          <w:right w:w="70" w:type="dxa"/>
        </w:tblCellMar>
        <w:tblLook w:val="04A0" w:firstRow="1" w:lastRow="0" w:firstColumn="1" w:lastColumn="0" w:noHBand="0" w:noVBand="1"/>
      </w:tblPr>
      <w:tblGrid>
        <w:gridCol w:w="5387"/>
        <w:gridCol w:w="1701"/>
      </w:tblGrid>
      <w:tr w:rsidR="0065290A" w:rsidRPr="006F33BA" w:rsidTr="00362D6D">
        <w:trPr>
          <w:trHeight w:val="406"/>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290A" w:rsidRPr="006F33BA" w:rsidRDefault="0065290A" w:rsidP="00362D6D">
            <w:pPr>
              <w:spacing w:after="0"/>
              <w:jc w:val="center"/>
              <w:rPr>
                <w:rFonts w:ascii="Times New Roman" w:hAnsi="Times New Roman"/>
                <w:b/>
                <w:bCs/>
                <w:color w:val="000000"/>
                <w:sz w:val="20"/>
                <w:szCs w:val="20"/>
              </w:rPr>
            </w:pPr>
            <w:r w:rsidRPr="006F33BA">
              <w:rPr>
                <w:rFonts w:ascii="Times New Roman" w:eastAsia="Times New Roman" w:hAnsi="Times New Roman"/>
                <w:b/>
                <w:bCs/>
                <w:color w:val="000000"/>
                <w:sz w:val="20"/>
                <w:szCs w:val="20"/>
                <w:lang w:eastAsia="es-CO"/>
              </w:rPr>
              <w:t>NOMBRE  CUENTA</w:t>
            </w:r>
          </w:p>
        </w:tc>
        <w:tc>
          <w:tcPr>
            <w:tcW w:w="1701"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5290A" w:rsidRPr="006F33BA" w:rsidRDefault="0065290A" w:rsidP="00362D6D">
            <w:pPr>
              <w:spacing w:after="0"/>
              <w:jc w:val="center"/>
              <w:rPr>
                <w:rFonts w:ascii="Times New Roman" w:hAnsi="Times New Roman"/>
                <w:b/>
                <w:bCs/>
                <w:color w:val="000000"/>
                <w:sz w:val="20"/>
                <w:szCs w:val="20"/>
              </w:rPr>
            </w:pPr>
            <w:r w:rsidRPr="006F33BA">
              <w:rPr>
                <w:rFonts w:ascii="Times New Roman" w:eastAsia="Times New Roman" w:hAnsi="Times New Roman"/>
                <w:b/>
                <w:bCs/>
                <w:color w:val="000000"/>
                <w:sz w:val="20"/>
                <w:szCs w:val="20"/>
                <w:lang w:eastAsia="es-CO"/>
              </w:rPr>
              <w:t>SALDO A 31/12/2019</w:t>
            </w:r>
          </w:p>
        </w:tc>
      </w:tr>
      <w:tr w:rsidR="0065290A" w:rsidRPr="006F33BA" w:rsidTr="00362D6D">
        <w:trPr>
          <w:trHeight w:val="1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themeColor="text1"/>
                <w:sz w:val="20"/>
                <w:szCs w:val="20"/>
              </w:rPr>
            </w:pPr>
            <w:r w:rsidRPr="006F33BA">
              <w:rPr>
                <w:rFonts w:ascii="Times New Roman" w:hAnsi="Times New Roman"/>
                <w:color w:val="000000" w:themeColor="text1"/>
                <w:sz w:val="20"/>
                <w:szCs w:val="20"/>
              </w:rPr>
              <w:t>Plan de activos para beneficios a los empleados a largo plazo</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eastAsia="Times New Roman" w:hAnsi="Times New Roman"/>
                <w:color w:val="000000"/>
                <w:sz w:val="20"/>
                <w:szCs w:val="20"/>
                <w:lang w:eastAsia="es-CO"/>
              </w:rPr>
              <w:t>742.553.4</w:t>
            </w:r>
            <w:r w:rsidRPr="006F33BA">
              <w:rPr>
                <w:rFonts w:ascii="Times New Roman" w:eastAsia="Times New Roman" w:hAnsi="Times New Roman"/>
                <w:color w:val="000000"/>
                <w:sz w:val="20"/>
                <w:szCs w:val="20"/>
                <w:lang w:val="es-419" w:eastAsia="es-CO"/>
              </w:rPr>
              <w:t>00</w:t>
            </w:r>
            <w:r>
              <w:rPr>
                <w:rFonts w:ascii="Times New Roman" w:eastAsia="Times New Roman" w:hAnsi="Times New Roman"/>
                <w:color w:val="000000"/>
                <w:sz w:val="20"/>
                <w:szCs w:val="20"/>
                <w:lang w:val="es-419" w:eastAsia="es-CO"/>
              </w:rPr>
              <w:t>,</w:t>
            </w:r>
            <w:r w:rsidRPr="006F33BA">
              <w:rPr>
                <w:rFonts w:ascii="Times New Roman" w:eastAsia="Times New Roman" w:hAnsi="Times New Roman"/>
                <w:color w:val="000000"/>
                <w:sz w:val="20"/>
                <w:szCs w:val="20"/>
                <w:lang w:val="es-419" w:eastAsia="es-CO"/>
              </w:rPr>
              <w:t>03</w:t>
            </w:r>
          </w:p>
        </w:tc>
      </w:tr>
      <w:tr w:rsidR="0065290A" w:rsidRPr="006F33BA" w:rsidTr="00362D6D">
        <w:trPr>
          <w:trHeight w:val="1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themeColor="text1"/>
                <w:sz w:val="20"/>
                <w:szCs w:val="20"/>
              </w:rPr>
            </w:pPr>
            <w:r w:rsidRPr="006F33BA">
              <w:rPr>
                <w:rFonts w:ascii="Times New Roman" w:hAnsi="Times New Roman"/>
                <w:color w:val="000000" w:themeColor="text1"/>
                <w:sz w:val="20"/>
                <w:szCs w:val="20"/>
              </w:rPr>
              <w:t>Bienes y servicios pagados por anticipado</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eastAsia="Times New Roman" w:hAnsi="Times New Roman"/>
                <w:color w:val="000000"/>
                <w:sz w:val="20"/>
                <w:szCs w:val="20"/>
                <w:lang w:eastAsia="es-CO"/>
              </w:rPr>
              <w:t>1.245.157.4</w:t>
            </w:r>
            <w:r w:rsidRPr="006F33BA">
              <w:rPr>
                <w:rFonts w:ascii="Times New Roman" w:eastAsia="Times New Roman" w:hAnsi="Times New Roman"/>
                <w:color w:val="000000"/>
                <w:sz w:val="20"/>
                <w:szCs w:val="20"/>
                <w:lang w:val="es-419" w:eastAsia="es-CO"/>
              </w:rPr>
              <w:t>61</w:t>
            </w:r>
            <w:r>
              <w:rPr>
                <w:rFonts w:ascii="Times New Roman" w:eastAsia="Times New Roman" w:hAnsi="Times New Roman"/>
                <w:color w:val="000000"/>
                <w:sz w:val="20"/>
                <w:szCs w:val="20"/>
                <w:lang w:val="es-419" w:eastAsia="es-CO"/>
              </w:rPr>
              <w:t>,</w:t>
            </w:r>
            <w:r w:rsidRPr="006F33BA">
              <w:rPr>
                <w:rFonts w:ascii="Times New Roman" w:eastAsia="Times New Roman" w:hAnsi="Times New Roman"/>
                <w:color w:val="000000"/>
                <w:sz w:val="20"/>
                <w:szCs w:val="20"/>
                <w:lang w:val="es-419" w:eastAsia="es-CO"/>
              </w:rPr>
              <w:t>07</w:t>
            </w:r>
          </w:p>
        </w:tc>
      </w:tr>
      <w:tr w:rsidR="0065290A" w:rsidRPr="006F33BA" w:rsidTr="00362D6D">
        <w:trPr>
          <w:trHeight w:val="1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FF0000"/>
                <w:sz w:val="20"/>
                <w:szCs w:val="20"/>
                <w:lang w:val="es-419"/>
              </w:rPr>
            </w:pPr>
            <w:r w:rsidRPr="006F33BA">
              <w:rPr>
                <w:rFonts w:ascii="Times New Roman" w:hAnsi="Times New Roman"/>
                <w:color w:val="000000" w:themeColor="text1"/>
                <w:sz w:val="20"/>
                <w:szCs w:val="20"/>
                <w:lang w:val="es-419"/>
              </w:rPr>
              <w:t>Avances y Anticipos Entregados</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hAnsi="Times New Roman"/>
                <w:color w:val="000000"/>
                <w:sz w:val="20"/>
                <w:szCs w:val="20"/>
                <w:lang w:val="es-419"/>
              </w:rPr>
              <w:t>0</w:t>
            </w:r>
          </w:p>
        </w:tc>
      </w:tr>
      <w:tr w:rsidR="0065290A" w:rsidRPr="006F33BA" w:rsidTr="00362D6D">
        <w:trPr>
          <w:trHeight w:val="27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themeColor="text1"/>
                <w:sz w:val="20"/>
                <w:szCs w:val="20"/>
              </w:rPr>
              <w:t>Recursos entregados en administración</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hAnsi="Times New Roman"/>
                <w:color w:val="000000"/>
                <w:sz w:val="20"/>
                <w:szCs w:val="20"/>
                <w:lang w:val="es-419"/>
              </w:rPr>
              <w:t>0</w:t>
            </w:r>
          </w:p>
        </w:tc>
      </w:tr>
      <w:tr w:rsidR="0065290A" w:rsidRPr="006F33BA" w:rsidTr="00362D6D">
        <w:trPr>
          <w:trHeight w:val="156"/>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sz w:val="20"/>
                <w:szCs w:val="20"/>
              </w:rPr>
              <w:t>Propiedades de Inversión</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eastAsia="Times New Roman" w:hAnsi="Times New Roman"/>
                <w:color w:val="000000"/>
                <w:sz w:val="20"/>
                <w:szCs w:val="20"/>
                <w:lang w:eastAsia="es-CO"/>
              </w:rPr>
              <w:t>12.572.206.</w:t>
            </w:r>
            <w:r w:rsidRPr="006F33BA">
              <w:rPr>
                <w:rFonts w:ascii="Times New Roman" w:eastAsia="Times New Roman" w:hAnsi="Times New Roman"/>
                <w:color w:val="000000"/>
                <w:sz w:val="20"/>
                <w:szCs w:val="20"/>
                <w:lang w:val="es-419" w:eastAsia="es-CO"/>
              </w:rPr>
              <w:t>00</w:t>
            </w:r>
            <w:r w:rsidRPr="006F33BA">
              <w:rPr>
                <w:rFonts w:ascii="Times New Roman" w:eastAsia="Times New Roman" w:hAnsi="Times New Roman"/>
                <w:color w:val="000000"/>
                <w:sz w:val="20"/>
                <w:szCs w:val="20"/>
                <w:lang w:eastAsia="es-CO"/>
              </w:rPr>
              <w:t>0</w:t>
            </w:r>
            <w:r>
              <w:rPr>
                <w:rFonts w:ascii="Times New Roman" w:eastAsia="Times New Roman" w:hAnsi="Times New Roman"/>
                <w:color w:val="000000"/>
                <w:sz w:val="20"/>
                <w:szCs w:val="20"/>
                <w:lang w:val="es-419" w:eastAsia="es-CO"/>
              </w:rPr>
              <w:t>,00</w:t>
            </w:r>
          </w:p>
        </w:tc>
      </w:tr>
      <w:tr w:rsidR="0065290A" w:rsidRPr="006F33BA" w:rsidTr="00362D6D">
        <w:trPr>
          <w:trHeight w:val="24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sz w:val="20"/>
                <w:szCs w:val="20"/>
              </w:rPr>
              <w:t>Depreciación Acumulada de Propiedades de inversión</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hAnsi="Times New Roman"/>
                <w:color w:val="000000"/>
                <w:sz w:val="20"/>
                <w:szCs w:val="20"/>
              </w:rPr>
              <w:t>-484.322.5</w:t>
            </w:r>
            <w:r w:rsidRPr="006F33BA">
              <w:rPr>
                <w:rFonts w:ascii="Times New Roman" w:hAnsi="Times New Roman"/>
                <w:color w:val="000000"/>
                <w:sz w:val="20"/>
                <w:szCs w:val="20"/>
                <w:lang w:val="es-419"/>
              </w:rPr>
              <w:t>42</w:t>
            </w:r>
            <w:r>
              <w:rPr>
                <w:rFonts w:ascii="Times New Roman" w:hAnsi="Times New Roman"/>
                <w:color w:val="000000"/>
                <w:sz w:val="20"/>
                <w:szCs w:val="20"/>
                <w:lang w:val="es-419"/>
              </w:rPr>
              <w:t>,</w:t>
            </w:r>
            <w:r w:rsidRPr="006F33BA">
              <w:rPr>
                <w:rFonts w:ascii="Times New Roman" w:hAnsi="Times New Roman"/>
                <w:color w:val="000000"/>
                <w:sz w:val="20"/>
                <w:szCs w:val="20"/>
                <w:lang w:val="es-419"/>
              </w:rPr>
              <w:t>56</w:t>
            </w:r>
          </w:p>
        </w:tc>
      </w:tr>
      <w:tr w:rsidR="0065290A" w:rsidRPr="006F33BA" w:rsidTr="00362D6D">
        <w:trPr>
          <w:trHeight w:val="1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sz w:val="20"/>
                <w:szCs w:val="20"/>
              </w:rPr>
              <w:t>Activos intangibles</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eastAsia="Times New Roman" w:hAnsi="Times New Roman"/>
                <w:color w:val="000000"/>
                <w:sz w:val="20"/>
                <w:szCs w:val="20"/>
                <w:lang w:eastAsia="es-CO"/>
              </w:rPr>
              <w:t>5.283.200.9</w:t>
            </w:r>
            <w:r w:rsidRPr="006F33BA">
              <w:rPr>
                <w:rFonts w:ascii="Times New Roman" w:eastAsia="Times New Roman" w:hAnsi="Times New Roman"/>
                <w:color w:val="000000"/>
                <w:sz w:val="20"/>
                <w:szCs w:val="20"/>
                <w:lang w:val="es-419" w:eastAsia="es-CO"/>
              </w:rPr>
              <w:t>93</w:t>
            </w:r>
            <w:r>
              <w:rPr>
                <w:rFonts w:ascii="Times New Roman" w:eastAsia="Times New Roman" w:hAnsi="Times New Roman"/>
                <w:color w:val="000000"/>
                <w:sz w:val="20"/>
                <w:szCs w:val="20"/>
                <w:lang w:val="es-419" w:eastAsia="es-CO"/>
              </w:rPr>
              <w:t>,</w:t>
            </w:r>
            <w:r w:rsidRPr="006F33BA">
              <w:rPr>
                <w:rFonts w:ascii="Times New Roman" w:eastAsia="Times New Roman" w:hAnsi="Times New Roman"/>
                <w:color w:val="000000"/>
                <w:sz w:val="20"/>
                <w:szCs w:val="20"/>
                <w:lang w:val="es-419" w:eastAsia="es-CO"/>
              </w:rPr>
              <w:t>32</w:t>
            </w:r>
          </w:p>
        </w:tc>
      </w:tr>
      <w:tr w:rsidR="0065290A" w:rsidRPr="006F33BA" w:rsidTr="00362D6D">
        <w:trPr>
          <w:trHeight w:val="10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sz w:val="20"/>
                <w:szCs w:val="20"/>
              </w:rPr>
              <w:t>Amortización acumulada de Activos Intangibles</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lang w:val="es-419"/>
              </w:rPr>
            </w:pPr>
            <w:r w:rsidRPr="006F33BA">
              <w:rPr>
                <w:rFonts w:ascii="Times New Roman" w:hAnsi="Times New Roman"/>
                <w:color w:val="000000"/>
                <w:sz w:val="20"/>
                <w:szCs w:val="20"/>
              </w:rPr>
              <w:t>-3.524.044.6</w:t>
            </w:r>
            <w:r w:rsidRPr="006F33BA">
              <w:rPr>
                <w:rFonts w:ascii="Times New Roman" w:hAnsi="Times New Roman"/>
                <w:color w:val="000000"/>
                <w:sz w:val="20"/>
                <w:szCs w:val="20"/>
                <w:lang w:val="es-419"/>
              </w:rPr>
              <w:t>14</w:t>
            </w:r>
            <w:r>
              <w:rPr>
                <w:rFonts w:ascii="Times New Roman" w:hAnsi="Times New Roman"/>
                <w:color w:val="000000"/>
                <w:sz w:val="20"/>
                <w:szCs w:val="20"/>
                <w:lang w:val="es-419"/>
              </w:rPr>
              <w:t>,</w:t>
            </w:r>
            <w:r w:rsidRPr="006F33BA">
              <w:rPr>
                <w:rFonts w:ascii="Times New Roman" w:hAnsi="Times New Roman"/>
                <w:color w:val="000000"/>
                <w:sz w:val="20"/>
                <w:szCs w:val="20"/>
                <w:lang w:val="es-419"/>
              </w:rPr>
              <w:t>54</w:t>
            </w:r>
          </w:p>
        </w:tc>
      </w:tr>
      <w:tr w:rsidR="0065290A" w:rsidRPr="006F33BA" w:rsidTr="00362D6D">
        <w:trPr>
          <w:trHeight w:val="13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spacing w:after="0"/>
              <w:jc w:val="both"/>
              <w:rPr>
                <w:rFonts w:ascii="Times New Roman" w:hAnsi="Times New Roman"/>
                <w:color w:val="000000"/>
                <w:sz w:val="20"/>
                <w:szCs w:val="20"/>
              </w:rPr>
            </w:pPr>
            <w:r w:rsidRPr="006F33BA">
              <w:rPr>
                <w:rFonts w:ascii="Times New Roman" w:hAnsi="Times New Roman"/>
                <w:color w:val="000000"/>
                <w:sz w:val="20"/>
                <w:szCs w:val="20"/>
              </w:rPr>
              <w:t>Deterioro acumulado de activos intangibles</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color w:val="000000"/>
                <w:sz w:val="20"/>
                <w:szCs w:val="20"/>
              </w:rPr>
            </w:pPr>
            <w:r w:rsidRPr="006F33BA">
              <w:rPr>
                <w:rFonts w:ascii="Times New Roman" w:hAnsi="Times New Roman"/>
                <w:color w:val="000000"/>
                <w:sz w:val="20"/>
                <w:szCs w:val="20"/>
              </w:rPr>
              <w:t>0,00</w:t>
            </w:r>
          </w:p>
        </w:tc>
      </w:tr>
      <w:tr w:rsidR="0065290A" w:rsidRPr="006F33BA" w:rsidTr="00362D6D">
        <w:trPr>
          <w:trHeight w:val="1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5290A" w:rsidRPr="006F33BA" w:rsidRDefault="0065290A" w:rsidP="00362D6D">
            <w:pPr>
              <w:autoSpaceDE w:val="0"/>
              <w:autoSpaceDN w:val="0"/>
              <w:adjustRightInd w:val="0"/>
              <w:spacing w:after="0" w:line="240" w:lineRule="auto"/>
              <w:rPr>
                <w:rFonts w:ascii="Times New Roman" w:hAnsi="Times New Roman"/>
                <w:b/>
                <w:sz w:val="20"/>
                <w:szCs w:val="20"/>
              </w:rPr>
            </w:pPr>
            <w:r w:rsidRPr="006F33BA">
              <w:rPr>
                <w:rFonts w:ascii="Times New Roman" w:hAnsi="Times New Roman"/>
                <w:b/>
                <w:sz w:val="20"/>
                <w:szCs w:val="20"/>
              </w:rPr>
              <w:t>TOTAL</w:t>
            </w:r>
          </w:p>
        </w:tc>
        <w:tc>
          <w:tcPr>
            <w:tcW w:w="1701" w:type="dxa"/>
            <w:tcBorders>
              <w:top w:val="nil"/>
              <w:left w:val="nil"/>
              <w:bottom w:val="single" w:sz="4" w:space="0" w:color="auto"/>
              <w:right w:val="single" w:sz="4" w:space="0" w:color="auto"/>
            </w:tcBorders>
            <w:shd w:val="clear" w:color="auto" w:fill="auto"/>
            <w:noWrap/>
            <w:vAlign w:val="center"/>
          </w:tcPr>
          <w:p w:rsidR="0065290A" w:rsidRPr="006F33BA" w:rsidRDefault="0065290A" w:rsidP="00362D6D">
            <w:pPr>
              <w:spacing w:after="0"/>
              <w:jc w:val="right"/>
              <w:rPr>
                <w:rFonts w:ascii="Times New Roman" w:hAnsi="Times New Roman"/>
                <w:b/>
                <w:sz w:val="20"/>
                <w:szCs w:val="20"/>
                <w:lang w:val="es-419"/>
              </w:rPr>
            </w:pPr>
            <w:r w:rsidRPr="006F33BA">
              <w:rPr>
                <w:rFonts w:ascii="Times New Roman" w:eastAsia="Times New Roman" w:hAnsi="Times New Roman"/>
                <w:b/>
                <w:color w:val="000000"/>
                <w:sz w:val="20"/>
                <w:szCs w:val="20"/>
                <w:lang w:eastAsia="es-CO"/>
              </w:rPr>
              <w:t>15.834.750.6</w:t>
            </w:r>
            <w:r>
              <w:rPr>
                <w:rFonts w:ascii="Times New Roman" w:eastAsia="Times New Roman" w:hAnsi="Times New Roman"/>
                <w:b/>
                <w:color w:val="000000"/>
                <w:sz w:val="20"/>
                <w:szCs w:val="20"/>
                <w:lang w:val="es-419" w:eastAsia="es-CO"/>
              </w:rPr>
              <w:t>97,32</w:t>
            </w:r>
          </w:p>
        </w:tc>
      </w:tr>
    </w:tbl>
    <w:p w:rsidR="0065290A" w:rsidRPr="00320713" w:rsidRDefault="0065290A" w:rsidP="0065290A">
      <w:pPr>
        <w:autoSpaceDE w:val="0"/>
        <w:autoSpaceDN w:val="0"/>
        <w:adjustRightInd w:val="0"/>
        <w:spacing w:after="0" w:line="240" w:lineRule="auto"/>
        <w:rPr>
          <w:rFonts w:ascii="Arial" w:hAnsi="Arial" w:cs="Arial"/>
          <w:sz w:val="16"/>
          <w:szCs w:val="16"/>
        </w:rPr>
      </w:pPr>
    </w:p>
    <w:p w:rsidR="0065290A" w:rsidRDefault="0065290A" w:rsidP="0065290A">
      <w:pPr>
        <w:autoSpaceDE w:val="0"/>
        <w:autoSpaceDN w:val="0"/>
        <w:adjustRightInd w:val="0"/>
        <w:spacing w:after="0" w:line="240" w:lineRule="auto"/>
        <w:jc w:val="both"/>
        <w:rPr>
          <w:rFonts w:ascii="Arial" w:hAnsi="Arial" w:cs="Arial"/>
          <w:sz w:val="24"/>
          <w:szCs w:val="24"/>
        </w:rPr>
      </w:pPr>
    </w:p>
    <w:p w:rsidR="0065290A" w:rsidRDefault="0065290A" w:rsidP="0065290A">
      <w:pPr>
        <w:autoSpaceDE w:val="0"/>
        <w:autoSpaceDN w:val="0"/>
        <w:adjustRightInd w:val="0"/>
        <w:spacing w:after="0" w:line="240" w:lineRule="auto"/>
        <w:jc w:val="both"/>
        <w:rPr>
          <w:rFonts w:ascii="Times New Roman" w:hAnsi="Times New Roman"/>
          <w:sz w:val="24"/>
          <w:szCs w:val="24"/>
          <w:lang w:val="es-419"/>
        </w:rPr>
      </w:pPr>
      <w:r w:rsidRPr="00016059">
        <w:rPr>
          <w:rFonts w:ascii="Times New Roman" w:hAnsi="Times New Roman"/>
          <w:sz w:val="24"/>
          <w:szCs w:val="24"/>
        </w:rPr>
        <w:t>El valor más representativo se registra en Propiedades de Inversión por  $12.572.206.0</w:t>
      </w:r>
      <w:r w:rsidRPr="00016059">
        <w:rPr>
          <w:rFonts w:ascii="Times New Roman" w:hAnsi="Times New Roman"/>
          <w:sz w:val="24"/>
          <w:szCs w:val="24"/>
          <w:lang w:val="es-419"/>
        </w:rPr>
        <w:t>00</w:t>
      </w:r>
      <w:r w:rsidRPr="00016059">
        <w:rPr>
          <w:rFonts w:ascii="Times New Roman" w:hAnsi="Times New Roman"/>
          <w:sz w:val="24"/>
          <w:szCs w:val="24"/>
        </w:rPr>
        <w:t xml:space="preserve"> </w:t>
      </w:r>
      <w:r w:rsidRPr="00016059">
        <w:rPr>
          <w:rFonts w:ascii="Times New Roman" w:hAnsi="Times New Roman"/>
          <w:sz w:val="24"/>
          <w:szCs w:val="24"/>
          <w:lang w:val="es-419"/>
        </w:rPr>
        <w:t xml:space="preserve">equivalentes al 79.3% que corresponde al </w:t>
      </w:r>
      <w:r w:rsidRPr="00016059">
        <w:rPr>
          <w:rFonts w:ascii="Times New Roman" w:hAnsi="Times New Roman"/>
          <w:sz w:val="24"/>
          <w:szCs w:val="24"/>
        </w:rPr>
        <w:t>avalúo de bienes inmuebles, eliminación de adiciones</w:t>
      </w:r>
      <w:r w:rsidRPr="00016059">
        <w:rPr>
          <w:rFonts w:ascii="Times New Roman" w:hAnsi="Times New Roman"/>
          <w:sz w:val="24"/>
          <w:szCs w:val="24"/>
          <w:lang w:val="es-419"/>
        </w:rPr>
        <w:t xml:space="preserve">, </w:t>
      </w:r>
      <w:r w:rsidRPr="00016059">
        <w:rPr>
          <w:rFonts w:ascii="Times New Roman" w:hAnsi="Times New Roman"/>
          <w:sz w:val="24"/>
          <w:szCs w:val="24"/>
        </w:rPr>
        <w:t>mejoras y</w:t>
      </w:r>
      <w:r w:rsidRPr="00016059">
        <w:rPr>
          <w:rFonts w:ascii="Times New Roman" w:hAnsi="Times New Roman"/>
          <w:sz w:val="24"/>
          <w:szCs w:val="24"/>
          <w:lang w:val="es-419"/>
        </w:rPr>
        <w:t xml:space="preserve"> </w:t>
      </w:r>
      <w:r w:rsidRPr="00016059">
        <w:rPr>
          <w:rFonts w:ascii="Times New Roman" w:hAnsi="Times New Roman"/>
          <w:sz w:val="24"/>
          <w:szCs w:val="24"/>
        </w:rPr>
        <w:t>depreciación</w:t>
      </w:r>
      <w:r w:rsidRPr="00016059">
        <w:rPr>
          <w:rFonts w:ascii="Times New Roman" w:hAnsi="Times New Roman"/>
          <w:sz w:val="24"/>
          <w:szCs w:val="24"/>
          <w:lang w:val="es-419"/>
        </w:rPr>
        <w:t xml:space="preserve"> del </w:t>
      </w:r>
      <w:r w:rsidRPr="00016059">
        <w:rPr>
          <w:rFonts w:ascii="Times New Roman" w:hAnsi="Times New Roman"/>
          <w:sz w:val="24"/>
          <w:szCs w:val="24"/>
        </w:rPr>
        <w:t>edificio Avianca piso</w:t>
      </w:r>
      <w:r w:rsidRPr="00016059">
        <w:rPr>
          <w:rFonts w:ascii="Times New Roman" w:hAnsi="Times New Roman"/>
          <w:sz w:val="24"/>
          <w:szCs w:val="24"/>
          <w:lang w:val="es-419"/>
        </w:rPr>
        <w:t>s</w:t>
      </w:r>
      <w:r w:rsidRPr="00016059">
        <w:rPr>
          <w:rFonts w:ascii="Times New Roman" w:hAnsi="Times New Roman"/>
          <w:sz w:val="24"/>
          <w:szCs w:val="24"/>
        </w:rPr>
        <w:t xml:space="preserve"> 33 </w:t>
      </w:r>
      <w:r w:rsidRPr="00016059">
        <w:rPr>
          <w:rFonts w:ascii="Times New Roman" w:hAnsi="Times New Roman"/>
          <w:sz w:val="24"/>
          <w:szCs w:val="24"/>
          <w:lang w:val="es-419"/>
        </w:rPr>
        <w:t>a</w:t>
      </w:r>
      <w:r w:rsidRPr="00016059">
        <w:rPr>
          <w:rFonts w:ascii="Times New Roman" w:hAnsi="Times New Roman"/>
          <w:sz w:val="24"/>
          <w:szCs w:val="24"/>
        </w:rPr>
        <w:t xml:space="preserve"> 37 y </w:t>
      </w:r>
      <w:proofErr w:type="spellStart"/>
      <w:r w:rsidRPr="00016059">
        <w:rPr>
          <w:rFonts w:ascii="Times New Roman" w:hAnsi="Times New Roman"/>
          <w:sz w:val="24"/>
          <w:szCs w:val="24"/>
        </w:rPr>
        <w:t>parq</w:t>
      </w:r>
      <w:r w:rsidRPr="00016059">
        <w:rPr>
          <w:rFonts w:ascii="Times New Roman" w:hAnsi="Times New Roman"/>
          <w:sz w:val="24"/>
          <w:szCs w:val="24"/>
          <w:lang w:val="es-419"/>
        </w:rPr>
        <w:t>ueaderos</w:t>
      </w:r>
      <w:proofErr w:type="spellEnd"/>
      <w:r w:rsidRPr="00016059">
        <w:rPr>
          <w:rFonts w:ascii="Times New Roman" w:hAnsi="Times New Roman"/>
          <w:sz w:val="24"/>
          <w:szCs w:val="24"/>
        </w:rPr>
        <w:t xml:space="preserve"> 14 a 23,37,38 y 53</w:t>
      </w:r>
      <w:r w:rsidRPr="00016059">
        <w:rPr>
          <w:rFonts w:ascii="Times New Roman" w:hAnsi="Times New Roman"/>
          <w:sz w:val="24"/>
          <w:szCs w:val="24"/>
          <w:lang w:val="es-419"/>
        </w:rPr>
        <w:t>, realizados en la vigencia de 2018.</w:t>
      </w:r>
    </w:p>
    <w:p w:rsidR="0065290A" w:rsidRDefault="0065290A" w:rsidP="0065290A">
      <w:pPr>
        <w:autoSpaceDE w:val="0"/>
        <w:autoSpaceDN w:val="0"/>
        <w:adjustRightInd w:val="0"/>
        <w:spacing w:after="0" w:line="240" w:lineRule="auto"/>
        <w:jc w:val="both"/>
        <w:rPr>
          <w:rFonts w:ascii="Times New Roman" w:hAnsi="Times New Roman"/>
          <w:sz w:val="24"/>
          <w:szCs w:val="24"/>
          <w:lang w:val="es-419"/>
        </w:rPr>
      </w:pPr>
    </w:p>
    <w:p w:rsidR="0065290A" w:rsidRPr="00016059" w:rsidRDefault="0065290A" w:rsidP="0065290A">
      <w:pPr>
        <w:pStyle w:val="Ttulo2"/>
        <w:numPr>
          <w:ilvl w:val="0"/>
          <w:numId w:val="0"/>
        </w:numPr>
        <w:rPr>
          <w:rFonts w:cs="Times New Roman"/>
          <w:lang w:val="es-419"/>
        </w:rPr>
      </w:pPr>
      <w:r>
        <w:rPr>
          <w:lang w:val="es-419"/>
        </w:rPr>
        <w:t>16.1. Desglose – subcuenta otros</w:t>
      </w:r>
    </w:p>
    <w:p w:rsidR="0065290A" w:rsidRDefault="0065290A" w:rsidP="0065290A">
      <w:pPr>
        <w:autoSpaceDE w:val="0"/>
        <w:autoSpaceDN w:val="0"/>
        <w:adjustRightInd w:val="0"/>
        <w:spacing w:after="0" w:line="240" w:lineRule="auto"/>
        <w:jc w:val="both"/>
        <w:rPr>
          <w:rFonts w:ascii="Arial" w:hAnsi="Arial" w:cs="Arial"/>
          <w:b/>
          <w:sz w:val="24"/>
          <w:szCs w:val="24"/>
        </w:rPr>
      </w:pPr>
    </w:p>
    <w:p w:rsidR="0065290A" w:rsidRPr="000A45A1" w:rsidRDefault="0065290A" w:rsidP="0065290A">
      <w:pPr>
        <w:autoSpaceDE w:val="0"/>
        <w:autoSpaceDN w:val="0"/>
        <w:adjustRightInd w:val="0"/>
        <w:spacing w:after="0" w:line="240" w:lineRule="auto"/>
        <w:rPr>
          <w:rFonts w:ascii="Arial" w:hAnsi="Arial" w:cs="Arial"/>
          <w:color w:val="000000" w:themeColor="text1"/>
          <w:sz w:val="24"/>
          <w:szCs w:val="24"/>
          <w:lang w:val="es-419"/>
        </w:rPr>
      </w:pPr>
      <w:r w:rsidRPr="000A45A1">
        <w:rPr>
          <w:rFonts w:ascii="Arial" w:hAnsi="Arial" w:cs="Arial"/>
          <w:noProof/>
          <w:color w:val="000000" w:themeColor="text1"/>
          <w:sz w:val="24"/>
          <w:szCs w:val="24"/>
          <w:lang w:eastAsia="es-CO"/>
        </w:rPr>
        <w:drawing>
          <wp:inline distT="0" distB="0" distL="0" distR="0" wp14:anchorId="4AEA09D5" wp14:editId="0F880E91">
            <wp:extent cx="5611695" cy="2740025"/>
            <wp:effectExtent l="0" t="0" r="825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6500"/>
                    <a:stretch/>
                  </pic:blipFill>
                  <pic:spPr bwMode="auto">
                    <a:xfrm>
                      <a:off x="0" y="0"/>
                      <a:ext cx="5612130" cy="2740237"/>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Pr="000A45A1" w:rsidRDefault="0065290A" w:rsidP="0065290A">
      <w:pPr>
        <w:autoSpaceDE w:val="0"/>
        <w:autoSpaceDN w:val="0"/>
        <w:adjustRightInd w:val="0"/>
        <w:spacing w:after="0" w:line="240" w:lineRule="auto"/>
        <w:rPr>
          <w:rFonts w:ascii="Arial" w:hAnsi="Arial" w:cs="Arial"/>
          <w:color w:val="000000" w:themeColor="text1"/>
          <w:sz w:val="24"/>
          <w:szCs w:val="24"/>
          <w:lang w:val="es-419"/>
        </w:rPr>
      </w:pPr>
    </w:p>
    <w:p w:rsidR="0065290A" w:rsidRPr="00016059" w:rsidRDefault="0065290A" w:rsidP="0065290A">
      <w:pPr>
        <w:jc w:val="both"/>
        <w:rPr>
          <w:rFonts w:ascii="Times New Roman" w:eastAsia="Times New Roman" w:hAnsi="Times New Roman"/>
          <w:bCs/>
          <w:color w:val="000000"/>
          <w:sz w:val="24"/>
          <w:szCs w:val="24"/>
          <w:lang w:val="es-419" w:eastAsia="es-CO"/>
        </w:rPr>
      </w:pPr>
      <w:r w:rsidRPr="00016059">
        <w:rPr>
          <w:rFonts w:ascii="Times New Roman" w:hAnsi="Times New Roman"/>
          <w:color w:val="000000" w:themeColor="text1"/>
          <w:sz w:val="24"/>
          <w:szCs w:val="24"/>
          <w:lang w:val="es-419"/>
        </w:rPr>
        <w:t>En la vigencia de 2019 los Bienes y servicios pagados por anticipado registran un valor por $ 1.245.157.461,07,</w:t>
      </w:r>
      <w:r w:rsidRPr="00016059">
        <w:rPr>
          <w:rFonts w:ascii="Times New Roman" w:hAnsi="Times New Roman"/>
          <w:color w:val="000000" w:themeColor="text1"/>
          <w:sz w:val="24"/>
          <w:szCs w:val="24"/>
        </w:rPr>
        <w:t xml:space="preserve"> </w:t>
      </w:r>
      <w:r w:rsidRPr="00016059">
        <w:rPr>
          <w:rFonts w:ascii="Times New Roman" w:hAnsi="Times New Roman"/>
          <w:color w:val="000000" w:themeColor="text1"/>
          <w:sz w:val="24"/>
          <w:szCs w:val="24"/>
          <w:lang w:val="es-419"/>
        </w:rPr>
        <w:t xml:space="preserve">correspondiente </w:t>
      </w:r>
      <w:r w:rsidRPr="00016059">
        <w:rPr>
          <w:rFonts w:ascii="Times New Roman" w:hAnsi="Times New Roman"/>
          <w:color w:val="000000" w:themeColor="text1"/>
          <w:sz w:val="24"/>
          <w:szCs w:val="24"/>
        </w:rPr>
        <w:t>a los pagos anticipados por concepto de pólizas de seguros de bienes muebles e inmuebles por $338.173.1</w:t>
      </w:r>
      <w:r w:rsidRPr="00016059">
        <w:rPr>
          <w:rFonts w:ascii="Times New Roman" w:hAnsi="Times New Roman"/>
          <w:color w:val="000000" w:themeColor="text1"/>
          <w:sz w:val="24"/>
          <w:szCs w:val="24"/>
          <w:lang w:val="es-419"/>
        </w:rPr>
        <w:t>88</w:t>
      </w:r>
      <w:r w:rsidRPr="00016059">
        <w:rPr>
          <w:rFonts w:ascii="Times New Roman" w:hAnsi="Times New Roman"/>
          <w:color w:val="000000" w:themeColor="text1"/>
          <w:sz w:val="24"/>
          <w:szCs w:val="24"/>
        </w:rPr>
        <w:t>, arrendamientos  por $31.100.5</w:t>
      </w:r>
      <w:r w:rsidRPr="00016059">
        <w:rPr>
          <w:rFonts w:ascii="Times New Roman" w:hAnsi="Times New Roman"/>
          <w:color w:val="000000" w:themeColor="text1"/>
          <w:sz w:val="24"/>
          <w:szCs w:val="24"/>
          <w:lang w:val="es-419"/>
        </w:rPr>
        <w:t>92</w:t>
      </w:r>
      <w:r w:rsidRPr="00016059">
        <w:rPr>
          <w:rFonts w:ascii="Times New Roman" w:hAnsi="Times New Roman"/>
          <w:color w:val="000000" w:themeColor="text1"/>
          <w:sz w:val="24"/>
          <w:szCs w:val="24"/>
        </w:rPr>
        <w:t xml:space="preserve">, cesantías </w:t>
      </w:r>
      <w:r w:rsidRPr="00016059">
        <w:rPr>
          <w:rFonts w:ascii="Times New Roman" w:hAnsi="Times New Roman"/>
          <w:color w:val="000000" w:themeColor="text1"/>
          <w:sz w:val="24"/>
          <w:szCs w:val="24"/>
        </w:rPr>
        <w:lastRenderedPageBreak/>
        <w:t>retroactivas mayores valores girados por $631.289.2</w:t>
      </w:r>
      <w:r w:rsidRPr="00016059">
        <w:rPr>
          <w:rFonts w:ascii="Times New Roman" w:hAnsi="Times New Roman"/>
          <w:color w:val="000000" w:themeColor="text1"/>
          <w:sz w:val="24"/>
          <w:szCs w:val="24"/>
          <w:lang w:val="es-419"/>
        </w:rPr>
        <w:t xml:space="preserve">99 </w:t>
      </w:r>
      <w:r w:rsidRPr="00016059">
        <w:rPr>
          <w:rFonts w:ascii="Times New Roman" w:hAnsi="Times New Roman"/>
          <w:color w:val="000000" w:themeColor="text1"/>
          <w:sz w:val="24"/>
          <w:szCs w:val="24"/>
        </w:rPr>
        <w:t>y por bienes y servicios $234.155.0</w:t>
      </w:r>
      <w:r w:rsidRPr="00016059">
        <w:rPr>
          <w:rFonts w:ascii="Times New Roman" w:hAnsi="Times New Roman"/>
          <w:color w:val="000000" w:themeColor="text1"/>
          <w:sz w:val="24"/>
          <w:szCs w:val="24"/>
          <w:lang w:val="es-419"/>
        </w:rPr>
        <w:t>31,07</w:t>
      </w:r>
      <w:r w:rsidRPr="00016059">
        <w:rPr>
          <w:rFonts w:ascii="Times New Roman" w:hAnsi="Times New Roman"/>
          <w:color w:val="000000" w:themeColor="text1"/>
          <w:sz w:val="24"/>
          <w:szCs w:val="24"/>
        </w:rPr>
        <w:t xml:space="preserve">, entre otros. </w:t>
      </w:r>
      <w:r w:rsidRPr="00016059">
        <w:rPr>
          <w:rFonts w:ascii="Times New Roman" w:hAnsi="Times New Roman"/>
          <w:color w:val="000000" w:themeColor="text1"/>
          <w:sz w:val="24"/>
          <w:szCs w:val="24"/>
          <w:lang w:val="es-419"/>
        </w:rPr>
        <w:t xml:space="preserve">La variación del </w:t>
      </w:r>
      <w:r w:rsidRPr="00016059">
        <w:rPr>
          <w:rFonts w:ascii="Times New Roman" w:eastAsia="Times New Roman" w:hAnsi="Times New Roman"/>
          <w:bCs/>
          <w:color w:val="000000"/>
          <w:sz w:val="24"/>
          <w:szCs w:val="24"/>
          <w:lang w:eastAsia="es-CO"/>
        </w:rPr>
        <w:t>21,5%</w:t>
      </w:r>
      <w:r w:rsidRPr="00016059">
        <w:rPr>
          <w:rFonts w:ascii="Times New Roman" w:eastAsia="Times New Roman" w:hAnsi="Times New Roman"/>
          <w:bCs/>
          <w:color w:val="000000"/>
          <w:sz w:val="24"/>
          <w:szCs w:val="24"/>
          <w:lang w:val="es-419" w:eastAsia="es-CO"/>
        </w:rPr>
        <w:t xml:space="preserve"> con relación al año 2018 se presenta en los seguros y otros beneficios a empleados.</w:t>
      </w:r>
    </w:p>
    <w:p w:rsidR="0065290A" w:rsidRPr="00016059" w:rsidRDefault="0065290A" w:rsidP="0065290A">
      <w:pPr>
        <w:jc w:val="both"/>
        <w:rPr>
          <w:rFonts w:ascii="Times New Roman" w:hAnsi="Times New Roman"/>
          <w:sz w:val="24"/>
          <w:szCs w:val="24"/>
        </w:rPr>
      </w:pPr>
      <w:r w:rsidRPr="00016059">
        <w:rPr>
          <w:rFonts w:ascii="Times New Roman" w:hAnsi="Times New Roman"/>
          <w:color w:val="000000" w:themeColor="text1"/>
          <w:sz w:val="24"/>
          <w:szCs w:val="24"/>
          <w:lang w:val="es-419"/>
        </w:rPr>
        <w:t xml:space="preserve">Los Avances para Viáticos y Gastos de Viaje, corresponden a los dineros entregados a servidores públicos de la Entidad, con el propósito de participar en eventos de capacitación y cumplimiento de comisiones fuera de la ciudad, a 31 diciembre de 2019 presenta saldo cero (0) por cuanto todos los viáticos fueron legalizados dentro de los términos establecidos y en cumplimiento de las normas legales vigentes. </w:t>
      </w:r>
    </w:p>
    <w:p w:rsidR="0065290A" w:rsidRPr="00016059" w:rsidRDefault="0065290A" w:rsidP="0065290A">
      <w:pPr>
        <w:jc w:val="both"/>
        <w:rPr>
          <w:rFonts w:ascii="Times New Roman" w:hAnsi="Times New Roman"/>
          <w:color w:val="000000" w:themeColor="text1"/>
          <w:sz w:val="24"/>
          <w:szCs w:val="24"/>
          <w:lang w:val="es-419"/>
        </w:rPr>
      </w:pPr>
      <w:r w:rsidRPr="00016059">
        <w:rPr>
          <w:rFonts w:ascii="Times New Roman" w:hAnsi="Times New Roman"/>
          <w:color w:val="000000" w:themeColor="text1"/>
          <w:sz w:val="24"/>
          <w:szCs w:val="24"/>
          <w:lang w:val="es-419"/>
        </w:rPr>
        <w:t xml:space="preserve">Los </w:t>
      </w:r>
      <w:r w:rsidRPr="00016059">
        <w:rPr>
          <w:rFonts w:ascii="Times New Roman" w:hAnsi="Times New Roman"/>
          <w:color w:val="000000" w:themeColor="text1"/>
          <w:sz w:val="24"/>
          <w:szCs w:val="24"/>
        </w:rPr>
        <w:t>Recursos entregados en administración</w:t>
      </w:r>
      <w:r w:rsidRPr="00016059">
        <w:rPr>
          <w:rFonts w:ascii="Times New Roman" w:hAnsi="Times New Roman"/>
          <w:color w:val="000000" w:themeColor="text1"/>
          <w:sz w:val="24"/>
          <w:szCs w:val="24"/>
          <w:lang w:val="es-419"/>
        </w:rPr>
        <w:t xml:space="preserve"> al cierre de la vigencia de 2019 presentan una variación con relación a la vigencia de 2018, en razón a que al cierre de la vigencia de 2019 la </w:t>
      </w:r>
      <w:r w:rsidRPr="00016059">
        <w:rPr>
          <w:rFonts w:ascii="Times New Roman" w:hAnsi="Times New Roman"/>
          <w:sz w:val="24"/>
          <w:szCs w:val="24"/>
          <w:lang w:val="es-419"/>
        </w:rPr>
        <w:t>Secretaria Distrital de Hacienda</w:t>
      </w:r>
      <w:r w:rsidRPr="00016059">
        <w:rPr>
          <w:rFonts w:ascii="Times New Roman" w:hAnsi="Times New Roman"/>
          <w:color w:val="000000" w:themeColor="text1"/>
          <w:sz w:val="24"/>
          <w:szCs w:val="24"/>
          <w:lang w:val="es-419"/>
        </w:rPr>
        <w:t xml:space="preserve"> realizó el giro correspondiente al reintegro de los impuestos causados, por ejecución de gastos de inversión y funcionamiento.</w:t>
      </w:r>
    </w:p>
    <w:p w:rsidR="0065290A" w:rsidRPr="00016059" w:rsidRDefault="0065290A" w:rsidP="0065290A">
      <w:pPr>
        <w:autoSpaceDE w:val="0"/>
        <w:autoSpaceDN w:val="0"/>
        <w:adjustRightInd w:val="0"/>
        <w:spacing w:after="0" w:line="240" w:lineRule="auto"/>
        <w:rPr>
          <w:rFonts w:ascii="Times New Roman" w:hAnsi="Times New Roman"/>
          <w:b/>
          <w:sz w:val="24"/>
          <w:szCs w:val="24"/>
          <w:lang w:val="es-419"/>
        </w:rPr>
      </w:pPr>
      <w:r w:rsidRPr="00016059">
        <w:rPr>
          <w:rFonts w:ascii="Times New Roman" w:hAnsi="Times New Roman"/>
          <w:b/>
          <w:sz w:val="24"/>
          <w:szCs w:val="24"/>
          <w:lang w:val="es-419"/>
        </w:rPr>
        <w:t xml:space="preserve">Otros beneficios a los empleados </w:t>
      </w:r>
    </w:p>
    <w:p w:rsidR="0065290A" w:rsidRPr="00016059" w:rsidRDefault="0065290A" w:rsidP="0065290A">
      <w:pPr>
        <w:autoSpaceDE w:val="0"/>
        <w:autoSpaceDN w:val="0"/>
        <w:adjustRightInd w:val="0"/>
        <w:spacing w:after="0" w:line="240" w:lineRule="auto"/>
        <w:rPr>
          <w:rFonts w:ascii="Times New Roman" w:hAnsi="Times New Roman"/>
          <w:b/>
          <w:sz w:val="24"/>
          <w:szCs w:val="24"/>
          <w:lang w:val="es-419"/>
        </w:rPr>
      </w:pPr>
    </w:p>
    <w:p w:rsidR="0065290A" w:rsidRDefault="0065290A" w:rsidP="0065290A">
      <w:pPr>
        <w:jc w:val="both"/>
        <w:rPr>
          <w:rFonts w:ascii="Times New Roman" w:hAnsi="Times New Roman"/>
          <w:color w:val="000000"/>
          <w:sz w:val="24"/>
          <w:szCs w:val="24"/>
          <w:lang w:val="es-419"/>
        </w:rPr>
      </w:pPr>
      <w:r w:rsidRPr="00016059">
        <w:rPr>
          <w:rFonts w:ascii="Times New Roman" w:hAnsi="Times New Roman"/>
          <w:sz w:val="24"/>
          <w:szCs w:val="24"/>
          <w:lang w:val="es-419"/>
        </w:rPr>
        <w:t>Las C</w:t>
      </w:r>
      <w:proofErr w:type="spellStart"/>
      <w:r w:rsidRPr="00016059">
        <w:rPr>
          <w:rFonts w:ascii="Times New Roman" w:hAnsi="Times New Roman"/>
          <w:sz w:val="24"/>
          <w:szCs w:val="24"/>
        </w:rPr>
        <w:t>esantías</w:t>
      </w:r>
      <w:proofErr w:type="spellEnd"/>
      <w:r w:rsidRPr="00016059">
        <w:rPr>
          <w:rFonts w:ascii="Times New Roman" w:hAnsi="Times New Roman"/>
          <w:sz w:val="24"/>
          <w:szCs w:val="24"/>
        </w:rPr>
        <w:t xml:space="preserve"> retroactivas representa</w:t>
      </w:r>
      <w:r w:rsidRPr="00016059">
        <w:rPr>
          <w:rFonts w:ascii="Times New Roman" w:hAnsi="Times New Roman"/>
          <w:sz w:val="24"/>
          <w:szCs w:val="24"/>
          <w:lang w:val="es-419"/>
        </w:rPr>
        <w:t>n</w:t>
      </w:r>
      <w:r w:rsidRPr="00016059">
        <w:rPr>
          <w:rFonts w:ascii="Times New Roman" w:hAnsi="Times New Roman"/>
          <w:sz w:val="24"/>
          <w:szCs w:val="24"/>
        </w:rPr>
        <w:t xml:space="preserve"> el 51% equivalente a </w:t>
      </w:r>
      <w:r w:rsidRPr="00016059">
        <w:rPr>
          <w:rFonts w:ascii="Times New Roman" w:hAnsi="Times New Roman"/>
          <w:sz w:val="24"/>
          <w:szCs w:val="24"/>
          <w:lang w:val="es-419"/>
        </w:rPr>
        <w:t>$</w:t>
      </w:r>
      <w:r w:rsidRPr="00016059">
        <w:rPr>
          <w:rFonts w:ascii="Times New Roman" w:hAnsi="Times New Roman"/>
          <w:sz w:val="24"/>
          <w:szCs w:val="24"/>
        </w:rPr>
        <w:t>631.289.299</w:t>
      </w:r>
      <w:r w:rsidRPr="00016059">
        <w:rPr>
          <w:rFonts w:ascii="Times New Roman" w:hAnsi="Times New Roman"/>
          <w:sz w:val="24"/>
          <w:szCs w:val="24"/>
          <w:lang w:val="es-419"/>
        </w:rPr>
        <w:t>.,</w:t>
      </w:r>
      <w:r w:rsidRPr="00016059">
        <w:rPr>
          <w:rFonts w:ascii="Times New Roman" w:hAnsi="Times New Roman"/>
          <w:sz w:val="24"/>
          <w:szCs w:val="24"/>
        </w:rPr>
        <w:t xml:space="preserve"> correspondiente a 43 funcionarios que tienen el beneficio  por pertenecer </w:t>
      </w:r>
      <w:r w:rsidRPr="00016059">
        <w:rPr>
          <w:rFonts w:ascii="Times New Roman" w:hAnsi="Times New Roman"/>
          <w:color w:val="000000"/>
          <w:sz w:val="24"/>
          <w:szCs w:val="24"/>
        </w:rPr>
        <w:t>al personal de planta del Régimen Antiguo. Este saldo</w:t>
      </w:r>
      <w:r w:rsidRPr="00016059">
        <w:rPr>
          <w:rFonts w:ascii="Times New Roman" w:hAnsi="Times New Roman"/>
          <w:sz w:val="24"/>
          <w:szCs w:val="24"/>
        </w:rPr>
        <w:t xml:space="preserve"> </w:t>
      </w:r>
      <w:r w:rsidRPr="00016059">
        <w:rPr>
          <w:rFonts w:ascii="Times New Roman" w:hAnsi="Times New Roman"/>
          <w:color w:val="000000"/>
          <w:sz w:val="24"/>
          <w:szCs w:val="24"/>
        </w:rPr>
        <w:t xml:space="preserve">corresponde a las Cesantías </w:t>
      </w:r>
      <w:r w:rsidRPr="00016059">
        <w:rPr>
          <w:rFonts w:ascii="Times New Roman" w:hAnsi="Times New Roman"/>
          <w:color w:val="000000"/>
          <w:sz w:val="24"/>
          <w:szCs w:val="24"/>
          <w:lang w:val="es-419"/>
        </w:rPr>
        <w:t>canceladas que por situaciones específicas del funcionario se liquidan en las condiciones en se encuentra, este mayor valor se va descontando de las cesantías causadas mensualmente.</w:t>
      </w:r>
    </w:p>
    <w:p w:rsidR="0065290A" w:rsidRPr="00016059" w:rsidRDefault="0065290A" w:rsidP="0065290A">
      <w:pPr>
        <w:pStyle w:val="Ttulo3"/>
        <w:rPr>
          <w:lang w:val="es-419"/>
        </w:rPr>
      </w:pPr>
      <w:r>
        <w:rPr>
          <w:lang w:val="es-419"/>
        </w:rPr>
        <w:t>16.1.1 Desglose – subcuenta otros</w:t>
      </w:r>
    </w:p>
    <w:p w:rsidR="0065290A" w:rsidRDefault="0065290A" w:rsidP="0065290A">
      <w:pPr>
        <w:jc w:val="both"/>
        <w:rPr>
          <w:rFonts w:ascii="Arial" w:hAnsi="Arial" w:cs="Arial"/>
          <w:color w:val="000000"/>
          <w:sz w:val="24"/>
          <w:szCs w:val="24"/>
          <w:lang w:val="es-419"/>
        </w:rPr>
      </w:pPr>
      <w:r w:rsidRPr="006571DB">
        <w:rPr>
          <w:noProof/>
          <w:lang w:eastAsia="es-CO"/>
        </w:rPr>
        <w:drawing>
          <wp:inline distT="0" distB="0" distL="0" distR="0" wp14:anchorId="71A39083" wp14:editId="2AEBE881">
            <wp:extent cx="5611488" cy="3540125"/>
            <wp:effectExtent l="19050" t="19050" r="27940" b="222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5589"/>
                    <a:stretch/>
                  </pic:blipFill>
                  <pic:spPr bwMode="auto">
                    <a:xfrm>
                      <a:off x="0" y="0"/>
                      <a:ext cx="5612130" cy="35405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5290A" w:rsidRPr="00016059" w:rsidRDefault="0065290A" w:rsidP="0065290A">
      <w:pPr>
        <w:autoSpaceDE w:val="0"/>
        <w:autoSpaceDN w:val="0"/>
        <w:adjustRightInd w:val="0"/>
        <w:spacing w:after="0" w:line="240" w:lineRule="auto"/>
        <w:jc w:val="both"/>
        <w:rPr>
          <w:rFonts w:ascii="Times New Roman" w:hAnsi="Times New Roman"/>
          <w:sz w:val="24"/>
          <w:szCs w:val="24"/>
          <w:lang w:val="es-419"/>
        </w:rPr>
      </w:pPr>
      <w:r w:rsidRPr="00016059">
        <w:rPr>
          <w:rFonts w:ascii="Times New Roman" w:hAnsi="Times New Roman"/>
          <w:sz w:val="24"/>
          <w:szCs w:val="24"/>
          <w:lang w:val="es-419"/>
        </w:rPr>
        <w:lastRenderedPageBreak/>
        <w:t xml:space="preserve">La cuenta Otros avances y anticipos, al cierre de la vigencia de 2019 registra saldo cero (0) en razón a que los recursos entregados </w:t>
      </w:r>
      <w:r w:rsidRPr="00016059">
        <w:rPr>
          <w:rFonts w:ascii="Times New Roman" w:hAnsi="Times New Roman"/>
          <w:color w:val="000000" w:themeColor="text1"/>
          <w:sz w:val="24"/>
          <w:szCs w:val="24"/>
          <w:lang w:val="es-419"/>
        </w:rPr>
        <w:t>fueron legalizados dentro de los términos establecidos y en cumplimiento de las normas que aplican en la Contraloría de Bogotá D.C.</w:t>
      </w:r>
    </w:p>
    <w:p w:rsidR="0065290A" w:rsidRPr="000741E8" w:rsidRDefault="0065290A" w:rsidP="0065290A">
      <w:pPr>
        <w:spacing w:after="0" w:line="240" w:lineRule="auto"/>
        <w:jc w:val="center"/>
        <w:rPr>
          <w:rFonts w:ascii="Times New Roman" w:hAnsi="Times New Roman"/>
          <w:sz w:val="24"/>
          <w:szCs w:val="24"/>
        </w:rPr>
      </w:pPr>
    </w:p>
    <w:p w:rsidR="0065290A" w:rsidRPr="000741E8" w:rsidRDefault="0065290A" w:rsidP="0065290A">
      <w:pPr>
        <w:pStyle w:val="Ttulo1"/>
        <w:rPr>
          <w:rFonts w:cs="Times New Roman"/>
          <w:sz w:val="24"/>
          <w:szCs w:val="24"/>
          <w:lang w:val="es-419"/>
        </w:rPr>
      </w:pPr>
      <w:bookmarkStart w:id="41" w:name="_Toc30823500"/>
      <w:r w:rsidRPr="000741E8">
        <w:rPr>
          <w:rFonts w:cs="Times New Roman"/>
          <w:sz w:val="24"/>
          <w:szCs w:val="24"/>
        </w:rPr>
        <w:t>NOTA 17. ARRENDAMIENTOS</w:t>
      </w:r>
      <w:bookmarkEnd w:id="41"/>
      <w:r w:rsidRPr="000741E8">
        <w:rPr>
          <w:rFonts w:cs="Times New Roman"/>
          <w:sz w:val="24"/>
          <w:szCs w:val="24"/>
          <w:lang w:val="es-419"/>
        </w:rPr>
        <w:t xml:space="preserve"> </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b/>
          <w:sz w:val="24"/>
          <w:szCs w:val="24"/>
          <w:lang w:val="es-419"/>
        </w:rPr>
        <w:t>Composición</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noProof/>
          <w:sz w:val="24"/>
          <w:szCs w:val="24"/>
          <w:lang w:eastAsia="es-CO"/>
        </w:rPr>
        <w:drawing>
          <wp:inline distT="0" distB="0" distL="0" distR="0" wp14:anchorId="37435A88" wp14:editId="2DF4D9B1">
            <wp:extent cx="5791835" cy="12178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835" cy="1217813"/>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color w:val="000000"/>
          <w:sz w:val="24"/>
          <w:szCs w:val="24"/>
        </w:rPr>
        <w:t>El saldo a diciembre 31 de 201</w:t>
      </w:r>
      <w:r w:rsidRPr="000741E8">
        <w:rPr>
          <w:rFonts w:ascii="Times New Roman" w:hAnsi="Times New Roman"/>
          <w:color w:val="000000"/>
          <w:sz w:val="24"/>
          <w:szCs w:val="24"/>
          <w:lang w:val="es-419"/>
        </w:rPr>
        <w:t>9</w:t>
      </w:r>
      <w:r w:rsidRPr="000741E8">
        <w:rPr>
          <w:rFonts w:ascii="Times New Roman" w:hAnsi="Times New Roman"/>
          <w:color w:val="000000"/>
          <w:sz w:val="24"/>
          <w:szCs w:val="24"/>
        </w:rPr>
        <w:t xml:space="preserve"> es </w:t>
      </w:r>
      <w:r w:rsidRPr="000741E8">
        <w:rPr>
          <w:rFonts w:ascii="Times New Roman" w:hAnsi="Times New Roman"/>
          <w:color w:val="000000" w:themeColor="text1"/>
          <w:sz w:val="24"/>
          <w:szCs w:val="24"/>
        </w:rPr>
        <w:t>de $</w:t>
      </w:r>
      <w:r w:rsidRPr="000741E8">
        <w:rPr>
          <w:rFonts w:ascii="Times New Roman" w:hAnsi="Times New Roman"/>
          <w:color w:val="000000" w:themeColor="text1"/>
          <w:sz w:val="24"/>
          <w:szCs w:val="24"/>
          <w:lang w:val="es-419"/>
        </w:rPr>
        <w:t>105.998.831</w:t>
      </w:r>
      <w:r w:rsidRPr="000741E8">
        <w:rPr>
          <w:rFonts w:ascii="Times New Roman" w:hAnsi="Times New Roman"/>
          <w:color w:val="000000" w:themeColor="text1"/>
          <w:sz w:val="24"/>
          <w:szCs w:val="24"/>
        </w:rPr>
        <w:t xml:space="preserve"> </w:t>
      </w:r>
      <w:r w:rsidRPr="000741E8">
        <w:rPr>
          <w:rFonts w:ascii="Times New Roman" w:hAnsi="Times New Roman"/>
          <w:color w:val="000000"/>
          <w:sz w:val="24"/>
          <w:szCs w:val="24"/>
        </w:rPr>
        <w:t>corresponde a</w:t>
      </w:r>
      <w:r w:rsidRPr="000741E8">
        <w:rPr>
          <w:rFonts w:ascii="Times New Roman" w:hAnsi="Times New Roman"/>
          <w:color w:val="000000"/>
          <w:sz w:val="24"/>
          <w:szCs w:val="24"/>
          <w:lang w:val="es-419"/>
        </w:rPr>
        <w:t xml:space="preserve"> </w:t>
      </w:r>
      <w:r w:rsidRPr="000741E8">
        <w:rPr>
          <w:rFonts w:ascii="Times New Roman" w:hAnsi="Times New Roman"/>
          <w:color w:val="000000"/>
          <w:sz w:val="24"/>
          <w:szCs w:val="24"/>
        </w:rPr>
        <w:t>l</w:t>
      </w:r>
      <w:r w:rsidRPr="000741E8">
        <w:rPr>
          <w:rFonts w:ascii="Times New Roman" w:hAnsi="Times New Roman"/>
          <w:color w:val="000000"/>
          <w:sz w:val="24"/>
          <w:szCs w:val="24"/>
          <w:lang w:val="es-419"/>
        </w:rPr>
        <w:t>a causación del arrendamiento del mes de diciembre</w:t>
      </w:r>
      <w:r w:rsidRPr="000741E8">
        <w:rPr>
          <w:rFonts w:ascii="Times New Roman" w:hAnsi="Times New Roman"/>
          <w:color w:val="000000"/>
          <w:sz w:val="24"/>
          <w:szCs w:val="24"/>
        </w:rPr>
        <w:t xml:space="preserve"> del bien inmueble pisos 33 a 37 y 13 parqueaderos del Edificio de Avianca propiedad de la Contraloría de Bogotá D.C</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25501D51" wp14:editId="0D8160E1">
            <wp:extent cx="5791835" cy="817146"/>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835" cy="817146"/>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376E50E9" wp14:editId="1E22C4D3">
            <wp:extent cx="5791835" cy="397522"/>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835" cy="397522"/>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1"/>
        <w:rPr>
          <w:rFonts w:cs="Times New Roman"/>
          <w:sz w:val="24"/>
          <w:szCs w:val="24"/>
        </w:rPr>
      </w:pPr>
      <w:bookmarkStart w:id="42" w:name="_Toc30823501"/>
      <w:r w:rsidRPr="000741E8">
        <w:rPr>
          <w:rFonts w:cs="Times New Roman"/>
          <w:sz w:val="24"/>
          <w:szCs w:val="24"/>
        </w:rPr>
        <w:lastRenderedPageBreak/>
        <w:t>NOTA 21. CUENTAS POR PAGAR</w:t>
      </w:r>
      <w:bookmarkEnd w:id="42"/>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43" w:name="_Toc30823502"/>
      <w:r w:rsidRPr="000741E8">
        <w:rPr>
          <w:rFonts w:cs="Times New Roman"/>
          <w:szCs w:val="24"/>
        </w:rPr>
        <w:t>Composición</w:t>
      </w:r>
      <w:bookmarkEnd w:id="43"/>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36E5A5C0" wp14:editId="23147B16">
            <wp:extent cx="5791835" cy="2506980"/>
            <wp:effectExtent l="19050" t="19050" r="18415" b="266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1835" cy="2506980"/>
                    </a:xfrm>
                    <a:prstGeom prst="rect">
                      <a:avLst/>
                    </a:prstGeom>
                    <a:noFill/>
                    <a:ln>
                      <a:solidFill>
                        <a:schemeClr val="tx1"/>
                      </a:solid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rPr>
        <w:t>En esta denominación, se incluyen los grupos que representan las obligaciones presentes que tiene la entidad como producto de sucesos pasados para cuya cancelación, una vez vencidas, espera desprenderse de recursos que incorporan beneficios económicos o un potencial de servicio.</w:t>
      </w:r>
    </w:p>
    <w:p w:rsidR="0065290A" w:rsidRPr="000741E8" w:rsidRDefault="0065290A" w:rsidP="0065290A">
      <w:pPr>
        <w:pStyle w:val="Prrafodelista"/>
        <w:spacing w:after="0" w:line="240" w:lineRule="auto"/>
        <w:jc w:val="both"/>
        <w:rPr>
          <w:rFonts w:ascii="Times New Roman" w:hAnsi="Times New Roman"/>
          <w:sz w:val="24"/>
          <w:szCs w:val="24"/>
          <w:u w:val="single"/>
        </w:rPr>
      </w:pPr>
    </w:p>
    <w:p w:rsidR="0065290A" w:rsidRPr="000741E8" w:rsidRDefault="0065290A" w:rsidP="0065290A">
      <w:pPr>
        <w:spacing w:after="0" w:line="240" w:lineRule="auto"/>
        <w:jc w:val="both"/>
        <w:rPr>
          <w:rFonts w:ascii="Times New Roman" w:hAnsi="Times New Roman"/>
          <w:sz w:val="24"/>
          <w:szCs w:val="24"/>
          <w:u w:val="single"/>
        </w:rPr>
      </w:pPr>
    </w:p>
    <w:p w:rsidR="0065290A" w:rsidRPr="000741E8" w:rsidRDefault="0065290A" w:rsidP="0065290A">
      <w:pPr>
        <w:pStyle w:val="Ttulo2"/>
        <w:numPr>
          <w:ilvl w:val="1"/>
          <w:numId w:val="7"/>
        </w:numPr>
        <w:ind w:left="567" w:hanging="567"/>
        <w:rPr>
          <w:rFonts w:cs="Times New Roman"/>
          <w:szCs w:val="24"/>
        </w:rPr>
      </w:pPr>
      <w:bookmarkStart w:id="44" w:name="_Toc30823503"/>
      <w:r w:rsidRPr="000741E8">
        <w:rPr>
          <w:rFonts w:cs="Times New Roman"/>
          <w:szCs w:val="24"/>
        </w:rPr>
        <w:t>Revelaciones generales</w:t>
      </w:r>
      <w:bookmarkEnd w:id="44"/>
    </w:p>
    <w:p w:rsidR="0065290A" w:rsidRPr="000741E8" w:rsidRDefault="0065290A" w:rsidP="0065290A">
      <w:pPr>
        <w:rPr>
          <w:rFonts w:ascii="Times New Roman" w:hAnsi="Times New Roman"/>
          <w:sz w:val="24"/>
          <w:szCs w:val="24"/>
        </w:rPr>
      </w:pPr>
    </w:p>
    <w:p w:rsidR="0065290A" w:rsidRPr="000741E8" w:rsidRDefault="0065290A" w:rsidP="0065290A">
      <w:pPr>
        <w:pStyle w:val="Ttulo3"/>
        <w:rPr>
          <w:rFonts w:cs="Times New Roman"/>
          <w:lang w:val="es-419"/>
        </w:rPr>
      </w:pPr>
      <w:bookmarkStart w:id="45" w:name="_Toc30823504"/>
      <w:r w:rsidRPr="000741E8">
        <w:rPr>
          <w:rFonts w:cs="Times New Roman"/>
          <w:lang w:val="es-419"/>
        </w:rPr>
        <w:t>21.1.1. Adquisición de Bienes y Servicios Nacionales</w:t>
      </w:r>
      <w:bookmarkEnd w:id="45"/>
    </w:p>
    <w:p w:rsidR="0065290A" w:rsidRPr="000741E8" w:rsidRDefault="0065290A" w:rsidP="0065290A">
      <w:pPr>
        <w:pStyle w:val="Prrafodelista"/>
        <w:spacing w:after="0" w:line="240" w:lineRule="auto"/>
        <w:jc w:val="both"/>
        <w:rPr>
          <w:rFonts w:ascii="Times New Roman" w:hAnsi="Times New Roman"/>
          <w:sz w:val="24"/>
          <w:szCs w:val="24"/>
          <w:lang w:val="es-419"/>
        </w:rPr>
      </w:pPr>
    </w:p>
    <w:p w:rsidR="0065290A" w:rsidRPr="00BD06A0" w:rsidRDefault="0065290A" w:rsidP="0065290A">
      <w:pPr>
        <w:pStyle w:val="Ttulo3"/>
        <w:rPr>
          <w:lang w:val="es-419"/>
        </w:rPr>
      </w:pPr>
      <w:bookmarkStart w:id="46" w:name="_Toc30823505"/>
      <w:r w:rsidRPr="00BD06A0">
        <w:rPr>
          <w:lang w:val="es-419"/>
        </w:rPr>
        <w:t>Anexo 21.1.1</w:t>
      </w:r>
      <w:bookmarkEnd w:id="46"/>
    </w:p>
    <w:p w:rsidR="0065290A" w:rsidRPr="000741E8" w:rsidRDefault="0065290A" w:rsidP="0065290A">
      <w:pPr>
        <w:pStyle w:val="Prrafodelista"/>
        <w:spacing w:after="0" w:line="240" w:lineRule="auto"/>
        <w:ind w:left="709"/>
        <w:jc w:val="both"/>
        <w:rPr>
          <w:rFonts w:ascii="Times New Roman" w:hAnsi="Times New Roman"/>
          <w:sz w:val="24"/>
          <w:szCs w:val="24"/>
        </w:rPr>
      </w:pPr>
    </w:p>
    <w:p w:rsidR="0065290A" w:rsidRPr="000741E8" w:rsidRDefault="0065290A" w:rsidP="0065290A">
      <w:pPr>
        <w:pStyle w:val="Prrafodelista"/>
        <w:spacing w:after="0" w:line="240" w:lineRule="auto"/>
        <w:ind w:left="709"/>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63C2C7A4" wp14:editId="4271D7D0">
            <wp:extent cx="4881315" cy="808941"/>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8475" cy="838300"/>
                    </a:xfrm>
                    <a:prstGeom prst="rect">
                      <a:avLst/>
                    </a:prstGeom>
                    <a:noFill/>
                    <a:ln>
                      <a:noFill/>
                    </a:ln>
                  </pic:spPr>
                </pic:pic>
              </a:graphicData>
            </a:graphic>
          </wp:inline>
        </w:drawing>
      </w:r>
    </w:p>
    <w:p w:rsidR="0065290A" w:rsidRPr="000741E8" w:rsidRDefault="0065290A" w:rsidP="0065290A">
      <w:pPr>
        <w:pStyle w:val="Prrafodelista"/>
        <w:spacing w:after="0" w:line="240" w:lineRule="auto"/>
        <w:ind w:left="709"/>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El saldo de las cuentas de Adquisición de bienes y Servicios Nacionales, corresponde a la constitución de las cuentas por pagar recibidas y causadas a 31 de diciembre de 2019, que  serán canceladas en las primeras semanas del mes de enero del año 2020. </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lang w:val="es-419"/>
        </w:rPr>
        <w:lastRenderedPageBreak/>
        <w:t xml:space="preserve">Las cuentas por pagar por este concepto Corresponden al 12.89% del total de los pasivos y tuvo un incremento del 11.97% con relación a las cuentas por pagar constituidas a 31 de diciembre de 2018. </w:t>
      </w:r>
    </w:p>
    <w:p w:rsidR="0065290A" w:rsidRPr="000741E8" w:rsidRDefault="0065290A" w:rsidP="0065290A">
      <w:pPr>
        <w:pStyle w:val="Prrafodelista"/>
        <w:spacing w:after="0" w:line="240" w:lineRule="auto"/>
        <w:ind w:left="709"/>
        <w:jc w:val="both"/>
        <w:rPr>
          <w:rFonts w:ascii="Times New Roman" w:hAnsi="Times New Roman"/>
          <w:sz w:val="24"/>
          <w:szCs w:val="24"/>
        </w:rPr>
      </w:pPr>
    </w:p>
    <w:p w:rsidR="0065290A" w:rsidRPr="000741E8" w:rsidRDefault="0065290A" w:rsidP="0065290A">
      <w:pPr>
        <w:pStyle w:val="Prrafodelista"/>
        <w:spacing w:after="0" w:line="240" w:lineRule="auto"/>
        <w:ind w:left="709"/>
        <w:jc w:val="both"/>
        <w:rPr>
          <w:rFonts w:ascii="Times New Roman" w:hAnsi="Times New Roman"/>
          <w:sz w:val="24"/>
          <w:szCs w:val="24"/>
        </w:rPr>
      </w:pPr>
    </w:p>
    <w:p w:rsidR="0065290A" w:rsidRPr="000741E8" w:rsidRDefault="0065290A" w:rsidP="0065290A">
      <w:pPr>
        <w:pStyle w:val="Ttulo3"/>
        <w:rPr>
          <w:rFonts w:cs="Times New Roman"/>
          <w:lang w:val="es-419"/>
        </w:rPr>
      </w:pPr>
      <w:bookmarkStart w:id="47" w:name="_Toc30823506"/>
      <w:r w:rsidRPr="000741E8">
        <w:rPr>
          <w:rFonts w:cs="Times New Roman"/>
          <w:lang w:val="es-419"/>
        </w:rPr>
        <w:t>21.1.2.  Recursos a favor de terceros</w:t>
      </w:r>
      <w:bookmarkEnd w:id="47"/>
    </w:p>
    <w:p w:rsidR="0065290A" w:rsidRPr="000741E8" w:rsidRDefault="0065290A" w:rsidP="0065290A">
      <w:pPr>
        <w:rPr>
          <w:rFonts w:ascii="Times New Roman" w:hAnsi="Times New Roman"/>
          <w:sz w:val="24"/>
          <w:szCs w:val="24"/>
          <w:lang w:val="es-419"/>
        </w:rPr>
      </w:pPr>
    </w:p>
    <w:p w:rsidR="0065290A" w:rsidRDefault="0065290A" w:rsidP="0065290A">
      <w:pPr>
        <w:pStyle w:val="Ttulo3"/>
        <w:rPr>
          <w:lang w:val="es-419"/>
        </w:rPr>
      </w:pPr>
      <w:bookmarkStart w:id="48" w:name="_Toc30823507"/>
      <w:r w:rsidRPr="00BD06A0">
        <w:rPr>
          <w:lang w:val="es-419"/>
        </w:rPr>
        <w:t>Anexo 21.1.2.</w:t>
      </w:r>
      <w:bookmarkEnd w:id="48"/>
    </w:p>
    <w:p w:rsidR="0065290A" w:rsidRPr="00BD06A0"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24711C5B" wp14:editId="2259A813">
            <wp:extent cx="5791835" cy="142811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835" cy="1428115"/>
                    </a:xfrm>
                    <a:prstGeom prst="rect">
                      <a:avLst/>
                    </a:prstGeom>
                    <a:noFill/>
                    <a:ln>
                      <a:noFill/>
                    </a:ln>
                  </pic:spPr>
                </pic:pic>
              </a:graphicData>
            </a:graphic>
          </wp:inline>
        </w:drawing>
      </w:r>
    </w:p>
    <w:p w:rsidR="0065290A" w:rsidRPr="000741E8" w:rsidRDefault="0065290A" w:rsidP="0065290A">
      <w:pPr>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El saldo corresponde al Recaudo a favor de Terceros como Entidades Públicas y Personas Naturales y es el 1.90% del total de los pasivos  y básicamente por devolución de recursos a la Secretaría de Hacienda por conceptos como Fotocopias, Intereses de Cuentas Bancarias, Multas, Recuperación de gastos, Sobrantes, entre otros.</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contextualSpacing/>
        <w:jc w:val="both"/>
        <w:rPr>
          <w:rFonts w:ascii="Times New Roman" w:hAnsi="Times New Roman"/>
          <w:sz w:val="24"/>
          <w:szCs w:val="24"/>
          <w:lang w:val="es-419"/>
        </w:rPr>
      </w:pPr>
      <w:r w:rsidRPr="000741E8">
        <w:rPr>
          <w:rFonts w:ascii="Times New Roman" w:hAnsi="Times New Roman"/>
          <w:sz w:val="24"/>
          <w:szCs w:val="24"/>
          <w:lang w:val="es-419"/>
        </w:rPr>
        <w:t>EL 98% del Recaudo a Favor de Terceros corresponde a valores a reintegrar a la Secretaría de Hacienda.</w:t>
      </w:r>
    </w:p>
    <w:p w:rsidR="0065290A" w:rsidRPr="000741E8" w:rsidRDefault="0065290A" w:rsidP="0065290A">
      <w:pPr>
        <w:pStyle w:val="Prrafodelista"/>
        <w:spacing w:after="0" w:line="240" w:lineRule="auto"/>
        <w:ind w:left="709"/>
        <w:jc w:val="both"/>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49" w:name="_Toc30823508"/>
      <w:r w:rsidRPr="000741E8">
        <w:rPr>
          <w:rFonts w:cs="Times New Roman"/>
          <w:lang w:val="es-419"/>
        </w:rPr>
        <w:t>21.1.3. Descuentos de nómina</w:t>
      </w:r>
      <w:bookmarkEnd w:id="49"/>
    </w:p>
    <w:p w:rsidR="0065290A" w:rsidRPr="000741E8" w:rsidRDefault="0065290A" w:rsidP="0065290A">
      <w:pPr>
        <w:rPr>
          <w:rFonts w:ascii="Times New Roman" w:hAnsi="Times New Roman"/>
          <w:sz w:val="24"/>
          <w:szCs w:val="24"/>
          <w:lang w:val="es-419"/>
        </w:rPr>
      </w:pPr>
    </w:p>
    <w:p w:rsidR="0065290A" w:rsidRPr="00BD06A0" w:rsidRDefault="0065290A" w:rsidP="0065290A">
      <w:pPr>
        <w:pStyle w:val="Ttulo3"/>
        <w:rPr>
          <w:lang w:val="es-419"/>
        </w:rPr>
      </w:pPr>
      <w:bookmarkStart w:id="50" w:name="_Toc30823509"/>
      <w:r w:rsidRPr="00BD06A0">
        <w:rPr>
          <w:lang w:val="es-419"/>
        </w:rPr>
        <w:t>Anexo 21.1.3.</w:t>
      </w:r>
      <w:bookmarkEnd w:id="50"/>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contextualSpacing/>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6491B2A6" wp14:editId="447F6AAA">
            <wp:extent cx="5789613" cy="1889449"/>
            <wp:effectExtent l="19050" t="19050" r="20955" b="1587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3423" cy="1907010"/>
                    </a:xfrm>
                    <a:prstGeom prst="rect">
                      <a:avLst/>
                    </a:prstGeom>
                    <a:noFill/>
                    <a:ln>
                      <a:solidFill>
                        <a:schemeClr val="tx1"/>
                      </a:solidFill>
                    </a:ln>
                  </pic:spPr>
                </pic:pic>
              </a:graphicData>
            </a:graphic>
          </wp:inline>
        </w:drawing>
      </w:r>
    </w:p>
    <w:p w:rsidR="0065290A" w:rsidRPr="000741E8" w:rsidRDefault="0065290A" w:rsidP="0065290A">
      <w:pPr>
        <w:spacing w:after="0" w:line="240" w:lineRule="auto"/>
        <w:contextualSpacing/>
        <w:jc w:val="both"/>
        <w:rPr>
          <w:rFonts w:ascii="Times New Roman" w:hAnsi="Times New Roman"/>
          <w:sz w:val="24"/>
          <w:szCs w:val="24"/>
          <w:lang w:val="es-419"/>
        </w:rPr>
      </w:pPr>
    </w:p>
    <w:p w:rsidR="0065290A" w:rsidRPr="000741E8" w:rsidRDefault="0065290A" w:rsidP="0065290A">
      <w:pPr>
        <w:spacing w:after="0" w:line="240" w:lineRule="auto"/>
        <w:contextualSpacing/>
        <w:jc w:val="both"/>
        <w:rPr>
          <w:rFonts w:ascii="Times New Roman" w:hAnsi="Times New Roman"/>
          <w:sz w:val="24"/>
          <w:szCs w:val="24"/>
          <w:lang w:val="es-419"/>
        </w:rPr>
      </w:pPr>
      <w:r w:rsidRPr="000741E8">
        <w:rPr>
          <w:rFonts w:ascii="Times New Roman" w:hAnsi="Times New Roman"/>
          <w:sz w:val="24"/>
          <w:szCs w:val="24"/>
          <w:lang w:val="es-419"/>
        </w:rPr>
        <w:lastRenderedPageBreak/>
        <w:t>El saldo corresponde a los valores a pagar por concepto de aportes a pensión y salud de los funcionarios causados al mes de diciembre de 2019, que equivalen al 8.60% de las cuentas por pagar.</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2"/>
        <w:numPr>
          <w:ilvl w:val="0"/>
          <w:numId w:val="0"/>
        </w:numPr>
        <w:rPr>
          <w:rFonts w:cs="Times New Roman"/>
          <w:szCs w:val="24"/>
          <w:lang w:val="es-419"/>
        </w:rPr>
      </w:pPr>
      <w:bookmarkStart w:id="51" w:name="_Toc30823510"/>
      <w:r w:rsidRPr="000741E8">
        <w:rPr>
          <w:rFonts w:cs="Times New Roman"/>
          <w:szCs w:val="24"/>
          <w:lang w:val="es-419"/>
        </w:rPr>
        <w:t xml:space="preserve">21.1.4. </w:t>
      </w:r>
      <w:r w:rsidRPr="000741E8">
        <w:rPr>
          <w:rFonts w:eastAsia="Times New Roman" w:cs="Times New Roman"/>
          <w:szCs w:val="24"/>
          <w:lang w:val="es-419"/>
        </w:rPr>
        <w:t>Retención en la fuente e impuesto de timbre</w:t>
      </w:r>
      <w:bookmarkEnd w:id="51"/>
      <w:r w:rsidRPr="000741E8">
        <w:rPr>
          <w:rFonts w:cs="Times New Roman"/>
          <w:szCs w:val="24"/>
          <w:lang w:val="es-419"/>
        </w:rPr>
        <w:tab/>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rPr>
          <w:rFonts w:cs="Times New Roman"/>
          <w:b w:val="0"/>
          <w:lang w:val="es-419"/>
        </w:rPr>
      </w:pPr>
      <w:bookmarkStart w:id="52" w:name="_Toc30823511"/>
      <w:r w:rsidRPr="000741E8">
        <w:rPr>
          <w:rFonts w:cs="Times New Roman"/>
          <w:b w:val="0"/>
          <w:lang w:val="es-419"/>
        </w:rPr>
        <w:t>Anexo 21.1.4.</w:t>
      </w:r>
      <w:bookmarkEnd w:id="52"/>
    </w:p>
    <w:p w:rsidR="0065290A" w:rsidRPr="000741E8" w:rsidRDefault="0065290A" w:rsidP="0065290A">
      <w:pPr>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672BC5DC" wp14:editId="15527B6A">
            <wp:extent cx="5791835" cy="145140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835" cy="1451406"/>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sz w:val="24"/>
          <w:szCs w:val="24"/>
          <w:lang w:val="es-419"/>
        </w:rPr>
        <w:t>El saldo corresponde a las retenciones practicadas en los pagos o abonos en cuenta efectuados en el mes de noviembre y diciembre de 2019 por el pago de las cuentas por pagar por concepto de adquisición de bienes y servicios, las cuales serán canceladas en el mes de enero de 2020, equivalente al 15.64% del total de las cuentas por pagar.</w:t>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2"/>
        <w:numPr>
          <w:ilvl w:val="0"/>
          <w:numId w:val="0"/>
        </w:numPr>
        <w:rPr>
          <w:rFonts w:cs="Times New Roman"/>
          <w:szCs w:val="24"/>
          <w:lang w:val="es-419"/>
        </w:rPr>
      </w:pPr>
      <w:bookmarkStart w:id="53" w:name="_Toc30823512"/>
      <w:r w:rsidRPr="000741E8">
        <w:rPr>
          <w:rFonts w:cs="Times New Roman"/>
          <w:szCs w:val="24"/>
          <w:lang w:val="es-419"/>
        </w:rPr>
        <w:t>21.1.5. Impuesto al valor agregado</w:t>
      </w:r>
      <w:bookmarkEnd w:id="53"/>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Representa el valor generado en la comercialización de bienes o prestación de servicios gravados, así como el valor descontable por la adquisición de bienes o servicios gravados, de acuerdo con las normas tributarias vigentes. </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El saldo por valor de $54.926.667,00 corresponde a los ingresos recibidos por concepto de arrendamientos de los pisos 33 al 37 y 13 parqueaderos en el edificio AVIANCA por el contrato celebrado con el BANCO AGRARIO.</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2"/>
        <w:numPr>
          <w:ilvl w:val="0"/>
          <w:numId w:val="0"/>
        </w:numPr>
        <w:rPr>
          <w:rFonts w:eastAsia="Times New Roman" w:cs="Times New Roman"/>
          <w:szCs w:val="24"/>
          <w:lang w:val="es-419"/>
        </w:rPr>
      </w:pPr>
      <w:bookmarkStart w:id="54" w:name="_Toc30823513"/>
      <w:r w:rsidRPr="000741E8">
        <w:rPr>
          <w:rFonts w:eastAsia="Times New Roman" w:cs="Times New Roman"/>
          <w:szCs w:val="24"/>
          <w:lang w:val="es-419"/>
        </w:rPr>
        <w:t>21.1.6. Créditos judiciales</w:t>
      </w:r>
      <w:bookmarkEnd w:id="54"/>
    </w:p>
    <w:p w:rsidR="0065290A" w:rsidRPr="000741E8" w:rsidRDefault="0065290A" w:rsidP="0065290A">
      <w:pPr>
        <w:pStyle w:val="Ttulo3"/>
        <w:ind w:left="720"/>
        <w:rPr>
          <w:rFonts w:eastAsia="Calibri" w:cs="Times New Roman"/>
          <w:lang w:val="es-419"/>
        </w:rPr>
      </w:pPr>
    </w:p>
    <w:p w:rsidR="0065290A" w:rsidRPr="000741E8" w:rsidRDefault="0065290A" w:rsidP="0065290A">
      <w:pPr>
        <w:pStyle w:val="Ttulo3"/>
        <w:rPr>
          <w:rFonts w:eastAsia="Calibri" w:cs="Times New Roman"/>
          <w:lang w:val="es-419"/>
        </w:rPr>
      </w:pPr>
      <w:bookmarkStart w:id="55" w:name="_Toc30823514"/>
      <w:r w:rsidRPr="000741E8">
        <w:rPr>
          <w:rFonts w:cs="Times New Roman"/>
          <w:lang w:val="es-419"/>
        </w:rPr>
        <w:t>Anexo 21.1.6.</w:t>
      </w:r>
      <w:bookmarkEnd w:id="55"/>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185559F7" wp14:editId="1D692503">
            <wp:extent cx="5790896" cy="930303"/>
            <wp:effectExtent l="0" t="0" r="635" b="317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7488" cy="934575"/>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contextualSpacing/>
        <w:jc w:val="both"/>
        <w:rPr>
          <w:rFonts w:ascii="Times New Roman" w:hAnsi="Times New Roman"/>
          <w:sz w:val="24"/>
          <w:szCs w:val="24"/>
        </w:rPr>
      </w:pPr>
      <w:r w:rsidRPr="000741E8">
        <w:rPr>
          <w:rFonts w:ascii="Times New Roman" w:hAnsi="Times New Roman"/>
          <w:sz w:val="24"/>
          <w:szCs w:val="24"/>
          <w:lang w:val="es-419"/>
        </w:rPr>
        <w:lastRenderedPageBreak/>
        <w:t>R</w:t>
      </w:r>
      <w:proofErr w:type="spellStart"/>
      <w:r w:rsidRPr="000741E8">
        <w:rPr>
          <w:rFonts w:ascii="Times New Roman" w:hAnsi="Times New Roman"/>
          <w:sz w:val="24"/>
          <w:szCs w:val="24"/>
        </w:rPr>
        <w:t>epresenta</w:t>
      </w:r>
      <w:proofErr w:type="spellEnd"/>
      <w:r w:rsidRPr="000741E8">
        <w:rPr>
          <w:rFonts w:ascii="Times New Roman" w:hAnsi="Times New Roman"/>
          <w:sz w:val="24"/>
          <w:szCs w:val="24"/>
        </w:rPr>
        <w:t xml:space="preserve"> el valor de las obligaciones por concepto de fallos en contra de la entidad, debidamente ejecutoriados, así como los mandamientos ejecutivos, conciliaciones administrativas y otras órdenes judiciales falladas a favor de terceros y originadas en litigios de carácter civil, laboral o administrativo.</w:t>
      </w:r>
    </w:p>
    <w:p w:rsidR="0065290A" w:rsidRPr="000741E8" w:rsidRDefault="0065290A" w:rsidP="0065290A">
      <w:pPr>
        <w:contextualSpacing/>
        <w:jc w:val="both"/>
        <w:rPr>
          <w:rFonts w:ascii="Times New Roman" w:hAnsi="Times New Roman"/>
          <w:sz w:val="24"/>
          <w:szCs w:val="24"/>
          <w:lang w:val="es-419"/>
        </w:rPr>
      </w:pPr>
    </w:p>
    <w:p w:rsidR="0065290A" w:rsidRPr="000741E8" w:rsidRDefault="0065290A" w:rsidP="0065290A">
      <w:pPr>
        <w:contextualSpacing/>
        <w:jc w:val="both"/>
        <w:rPr>
          <w:rFonts w:ascii="Times New Roman" w:hAnsi="Times New Roman"/>
          <w:sz w:val="24"/>
          <w:szCs w:val="24"/>
          <w:lang w:val="es-419"/>
        </w:rPr>
      </w:pPr>
      <w:r w:rsidRPr="000741E8">
        <w:rPr>
          <w:rFonts w:ascii="Times New Roman" w:hAnsi="Times New Roman"/>
          <w:sz w:val="24"/>
          <w:szCs w:val="24"/>
          <w:lang w:val="es-419"/>
        </w:rPr>
        <w:t xml:space="preserve">El saldo corresponde a la causación de la sentencia judicial proferida por la corte constitucional en el fallo de tutela t-416 de 2016 a nombre de  </w:t>
      </w:r>
      <w:proofErr w:type="spellStart"/>
      <w:r w:rsidRPr="000741E8">
        <w:rPr>
          <w:rFonts w:ascii="Times New Roman" w:hAnsi="Times New Roman"/>
          <w:sz w:val="24"/>
          <w:szCs w:val="24"/>
          <w:lang w:val="es-419"/>
        </w:rPr>
        <w:t>Brianda</w:t>
      </w:r>
      <w:proofErr w:type="spellEnd"/>
      <w:r w:rsidRPr="000741E8">
        <w:rPr>
          <w:rFonts w:ascii="Times New Roman" w:hAnsi="Times New Roman"/>
          <w:sz w:val="24"/>
          <w:szCs w:val="24"/>
          <w:lang w:val="es-419"/>
        </w:rPr>
        <w:t xml:space="preserve"> Mercedes </w:t>
      </w:r>
      <w:proofErr w:type="spellStart"/>
      <w:r w:rsidRPr="000741E8">
        <w:rPr>
          <w:rFonts w:ascii="Times New Roman" w:hAnsi="Times New Roman"/>
          <w:sz w:val="24"/>
          <w:szCs w:val="24"/>
          <w:lang w:val="es-419"/>
        </w:rPr>
        <w:t>Reniz</w:t>
      </w:r>
      <w:proofErr w:type="spellEnd"/>
      <w:r w:rsidRPr="000741E8">
        <w:rPr>
          <w:rFonts w:ascii="Times New Roman" w:hAnsi="Times New Roman"/>
          <w:sz w:val="24"/>
          <w:szCs w:val="24"/>
          <w:lang w:val="es-419"/>
        </w:rPr>
        <w:t xml:space="preserve"> Caballero resolución 3241 del 23-12-2019, y costas a nombre de Procesadora de Alimentos el Gordo.</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Prrafodelista"/>
        <w:keepNext/>
        <w:keepLines/>
        <w:numPr>
          <w:ilvl w:val="2"/>
          <w:numId w:val="37"/>
        </w:numPr>
        <w:spacing w:after="0"/>
        <w:jc w:val="both"/>
        <w:outlineLvl w:val="1"/>
        <w:rPr>
          <w:rFonts w:ascii="Times New Roman" w:eastAsia="Times New Roman" w:hAnsi="Times New Roman"/>
          <w:b/>
          <w:color w:val="1F3864"/>
          <w:sz w:val="24"/>
          <w:szCs w:val="24"/>
          <w:lang w:val="es-419"/>
        </w:rPr>
      </w:pPr>
      <w:bookmarkStart w:id="56" w:name="_Toc30823515"/>
      <w:r w:rsidRPr="000741E8">
        <w:rPr>
          <w:rFonts w:ascii="Times New Roman" w:eastAsia="Times New Roman" w:hAnsi="Times New Roman"/>
          <w:b/>
          <w:color w:val="1F3864"/>
          <w:sz w:val="24"/>
          <w:szCs w:val="24"/>
          <w:lang w:val="es-419"/>
        </w:rPr>
        <w:t>Otras cuentas por pagar</w:t>
      </w:r>
      <w:bookmarkEnd w:id="56"/>
    </w:p>
    <w:p w:rsidR="0065290A" w:rsidRPr="000741E8" w:rsidRDefault="0065290A" w:rsidP="0065290A">
      <w:pPr>
        <w:ind w:left="720"/>
        <w:contextualSpacing/>
        <w:rPr>
          <w:rFonts w:ascii="Times New Roman" w:hAnsi="Times New Roman"/>
          <w:sz w:val="24"/>
          <w:szCs w:val="24"/>
          <w:lang w:val="es-419"/>
        </w:rPr>
      </w:pPr>
    </w:p>
    <w:p w:rsidR="0065290A" w:rsidRPr="000741E8" w:rsidRDefault="0065290A" w:rsidP="0065290A">
      <w:pPr>
        <w:pStyle w:val="Ttulo3"/>
        <w:rPr>
          <w:lang w:val="es-419"/>
        </w:rPr>
      </w:pPr>
      <w:bookmarkStart w:id="57" w:name="_Toc30823516"/>
      <w:r w:rsidRPr="000741E8">
        <w:rPr>
          <w:lang w:val="es-419"/>
        </w:rPr>
        <w:t>Anexo 21.1.7.</w:t>
      </w:r>
      <w:bookmarkEnd w:id="57"/>
    </w:p>
    <w:p w:rsidR="0065290A" w:rsidRPr="000741E8" w:rsidRDefault="0065290A" w:rsidP="0065290A">
      <w:pPr>
        <w:contextualSpacing/>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65BD941E" wp14:editId="34E82D4C">
            <wp:extent cx="5791835" cy="109056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1835" cy="1090566"/>
                    </a:xfrm>
                    <a:prstGeom prst="rect">
                      <a:avLst/>
                    </a:prstGeom>
                    <a:noFill/>
                    <a:ln>
                      <a:noFill/>
                    </a:ln>
                  </pic:spPr>
                </pic:pic>
              </a:graphicData>
            </a:graphic>
          </wp:inline>
        </w:drawing>
      </w:r>
    </w:p>
    <w:p w:rsidR="0065290A" w:rsidRPr="000741E8" w:rsidRDefault="0065290A" w:rsidP="0065290A">
      <w:pPr>
        <w:contextualSpacing/>
        <w:rPr>
          <w:rFonts w:ascii="Times New Roman" w:hAnsi="Times New Roman"/>
          <w:sz w:val="24"/>
          <w:szCs w:val="24"/>
          <w:lang w:val="es-419"/>
        </w:rPr>
      </w:pPr>
    </w:p>
    <w:p w:rsidR="0065290A" w:rsidRPr="000741E8" w:rsidRDefault="0065290A" w:rsidP="0065290A">
      <w:pPr>
        <w:contextualSpacing/>
        <w:jc w:val="both"/>
        <w:rPr>
          <w:rFonts w:ascii="Times New Roman" w:hAnsi="Times New Roman"/>
          <w:sz w:val="24"/>
          <w:szCs w:val="24"/>
          <w:lang w:val="es-419"/>
        </w:rPr>
      </w:pPr>
      <w:r w:rsidRPr="000741E8">
        <w:rPr>
          <w:rFonts w:ascii="Times New Roman" w:hAnsi="Times New Roman"/>
          <w:sz w:val="24"/>
          <w:szCs w:val="24"/>
          <w:lang w:val="es-419"/>
        </w:rPr>
        <w:t>El saldo de otras cuentas por pagar está conformado por los concepto</w:t>
      </w:r>
      <w:r>
        <w:rPr>
          <w:rFonts w:ascii="Times New Roman" w:hAnsi="Times New Roman"/>
          <w:sz w:val="24"/>
          <w:szCs w:val="24"/>
          <w:lang w:val="es-419"/>
        </w:rPr>
        <w:t>s</w:t>
      </w:r>
      <w:r w:rsidRPr="000741E8">
        <w:rPr>
          <w:rFonts w:ascii="Times New Roman" w:hAnsi="Times New Roman"/>
          <w:sz w:val="24"/>
          <w:szCs w:val="24"/>
          <w:lang w:val="es-419"/>
        </w:rPr>
        <w:t xml:space="preserve"> de órdenes de prestación de servicios profesionales y técnicos, saldo a favor de beneficiarios, comisiones, aportes a la ESAP entre otros. El saldo corresponde al 18.21% del total de las cuentas por pagar, de las cuales el 32.13% corresponden a constitución de las cuentas por pagar por OPS que serán canceladas en las primeras semanas del mes de enero del año 2020.</w:t>
      </w:r>
    </w:p>
    <w:p w:rsidR="0065290A" w:rsidRPr="000741E8" w:rsidRDefault="0065290A" w:rsidP="0065290A">
      <w:pPr>
        <w:contextualSpacing/>
        <w:jc w:val="both"/>
        <w:rPr>
          <w:rFonts w:ascii="Times New Roman" w:hAnsi="Times New Roman"/>
          <w:sz w:val="24"/>
          <w:szCs w:val="24"/>
          <w:lang w:val="es-419"/>
        </w:rPr>
      </w:pPr>
    </w:p>
    <w:p w:rsidR="0065290A" w:rsidRPr="000741E8" w:rsidRDefault="0065290A" w:rsidP="0065290A">
      <w:pPr>
        <w:contextualSpacing/>
        <w:jc w:val="both"/>
        <w:rPr>
          <w:rFonts w:ascii="Times New Roman" w:hAnsi="Times New Roman"/>
          <w:sz w:val="24"/>
          <w:szCs w:val="24"/>
          <w:lang w:val="es-419"/>
        </w:rPr>
      </w:pPr>
      <w:r w:rsidRPr="000741E8">
        <w:rPr>
          <w:rFonts w:ascii="Times New Roman" w:hAnsi="Times New Roman"/>
          <w:sz w:val="24"/>
          <w:szCs w:val="24"/>
          <w:lang w:val="es-419"/>
        </w:rPr>
        <w:t>La cuenta presenta una disminución del 63.26% debido a la cancelación de los pagos de los saldos a favor de beneficiarios que se originan en el cobro de los procesos de responsabilidad fiscal, recursos reintegrados a los sujetos de control.</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1"/>
        <w:rPr>
          <w:rFonts w:cs="Times New Roman"/>
          <w:sz w:val="24"/>
          <w:szCs w:val="24"/>
          <w:lang w:val="es-419"/>
        </w:rPr>
      </w:pPr>
      <w:bookmarkStart w:id="58" w:name="_Toc30823517"/>
      <w:r w:rsidRPr="000741E8">
        <w:rPr>
          <w:rFonts w:cs="Times New Roman"/>
          <w:sz w:val="24"/>
          <w:szCs w:val="24"/>
          <w:lang w:val="es-419"/>
        </w:rPr>
        <w:t>NOTA 22. BENEFICIOS A LOS EMPLEADOS</w:t>
      </w:r>
      <w:bookmarkEnd w:id="58"/>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Prrafodelista"/>
        <w:spacing w:after="0" w:line="240" w:lineRule="auto"/>
        <w:ind w:left="0"/>
        <w:jc w:val="both"/>
        <w:rPr>
          <w:rFonts w:ascii="Times New Roman" w:hAnsi="Times New Roman"/>
          <w:b/>
          <w:sz w:val="24"/>
          <w:szCs w:val="24"/>
          <w:lang w:val="es-419"/>
        </w:rPr>
      </w:pPr>
      <w:r w:rsidRPr="000741E8">
        <w:rPr>
          <w:rFonts w:ascii="Times New Roman" w:hAnsi="Times New Roman"/>
          <w:b/>
          <w:sz w:val="24"/>
          <w:szCs w:val="24"/>
          <w:lang w:val="es-419"/>
        </w:rPr>
        <w:t>Composición</w:t>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r w:rsidRPr="000741E8">
        <w:rPr>
          <w:rFonts w:ascii="Times New Roman" w:hAnsi="Times New Roman"/>
          <w:noProof/>
          <w:sz w:val="24"/>
          <w:szCs w:val="24"/>
          <w:lang w:eastAsia="es-CO"/>
        </w:rPr>
        <w:lastRenderedPageBreak/>
        <w:drawing>
          <wp:inline distT="0" distB="0" distL="0" distR="0" wp14:anchorId="4A1E93C0" wp14:editId="1217101C">
            <wp:extent cx="5791835" cy="219812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1835" cy="2198123"/>
                    </a:xfrm>
                    <a:prstGeom prst="rect">
                      <a:avLst/>
                    </a:prstGeom>
                    <a:noFill/>
                    <a:ln>
                      <a:noFill/>
                    </a:ln>
                  </pic:spPr>
                </pic:pic>
              </a:graphicData>
            </a:graphic>
          </wp:inline>
        </w:drawing>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jc w:val="both"/>
        <w:rPr>
          <w:rFonts w:ascii="Times New Roman" w:hAnsi="Times New Roman"/>
          <w:sz w:val="24"/>
          <w:szCs w:val="24"/>
        </w:rPr>
      </w:pPr>
      <w:r w:rsidRPr="000741E8">
        <w:rPr>
          <w:rFonts w:ascii="Times New Roman" w:hAnsi="Times New Roman"/>
          <w:sz w:val="24"/>
          <w:szCs w:val="24"/>
          <w:lang w:val="es-419"/>
        </w:rPr>
        <w:t xml:space="preserve">El saldo reflejado en la cuenta 25, corresponde al registro real de las </w:t>
      </w:r>
      <w:r w:rsidRPr="000741E8">
        <w:rPr>
          <w:rFonts w:ascii="Times New Roman" w:hAnsi="Times New Roman"/>
          <w:sz w:val="24"/>
          <w:szCs w:val="24"/>
        </w:rPr>
        <w:t xml:space="preserve"> retribuciones que la entidad proporciona a sus trabajadores a cambio de sus servicios</w:t>
      </w:r>
      <w:r w:rsidRPr="000741E8">
        <w:rPr>
          <w:rFonts w:ascii="Times New Roman" w:hAnsi="Times New Roman"/>
          <w:sz w:val="24"/>
          <w:szCs w:val="24"/>
          <w:lang w:val="es-419"/>
        </w:rPr>
        <w:t xml:space="preserve"> a largo plazo como cesantías retroactivas y otros beneficios a empleados a largo plazo (reconocimiento por permanencia).</w:t>
      </w:r>
    </w:p>
    <w:p w:rsidR="0065290A" w:rsidRPr="000741E8" w:rsidRDefault="0065290A" w:rsidP="0065290A">
      <w:pPr>
        <w:jc w:val="both"/>
        <w:rPr>
          <w:rFonts w:ascii="Times New Roman" w:eastAsia="Times New Roman" w:hAnsi="Times New Roman"/>
          <w:bCs/>
          <w:color w:val="000000" w:themeColor="text1"/>
          <w:sz w:val="24"/>
          <w:szCs w:val="24"/>
          <w:lang w:val="es-419" w:eastAsia="es-CO"/>
        </w:rPr>
      </w:pPr>
      <w:r w:rsidRPr="000741E8">
        <w:rPr>
          <w:rFonts w:ascii="Times New Roman" w:hAnsi="Times New Roman"/>
          <w:color w:val="000000"/>
          <w:sz w:val="24"/>
          <w:szCs w:val="24"/>
          <w:lang w:val="es-419"/>
        </w:rPr>
        <w:t xml:space="preserve">El saldo de la cuenta 2-5-00 a </w:t>
      </w:r>
      <w:r w:rsidRPr="000741E8">
        <w:rPr>
          <w:rFonts w:ascii="Times New Roman" w:hAnsi="Times New Roman"/>
          <w:color w:val="000000"/>
          <w:sz w:val="24"/>
          <w:szCs w:val="24"/>
        </w:rPr>
        <w:t xml:space="preserve">diciembre 31 de 2019 </w:t>
      </w:r>
      <w:r w:rsidRPr="000741E8">
        <w:rPr>
          <w:rFonts w:ascii="Times New Roman" w:hAnsi="Times New Roman"/>
          <w:color w:val="000000"/>
          <w:sz w:val="24"/>
          <w:szCs w:val="24"/>
          <w:lang w:val="es-419"/>
        </w:rPr>
        <w:t xml:space="preserve">por valor </w:t>
      </w:r>
      <w:r w:rsidRPr="000741E8">
        <w:rPr>
          <w:rFonts w:ascii="Times New Roman" w:hAnsi="Times New Roman"/>
          <w:color w:val="000000"/>
          <w:sz w:val="24"/>
          <w:szCs w:val="24"/>
        </w:rPr>
        <w:t>de $</w:t>
      </w:r>
      <w:r w:rsidRPr="000741E8">
        <w:rPr>
          <w:rFonts w:ascii="Times New Roman" w:hAnsi="Times New Roman"/>
          <w:color w:val="000000"/>
          <w:sz w:val="24"/>
          <w:szCs w:val="24"/>
          <w:lang w:val="es-419"/>
        </w:rPr>
        <w:t xml:space="preserve"> 45.578.075 representa </w:t>
      </w:r>
      <w:r w:rsidRPr="000741E8">
        <w:rPr>
          <w:rFonts w:ascii="Times New Roman" w:hAnsi="Times New Roman"/>
          <w:color w:val="000000" w:themeColor="text1"/>
          <w:sz w:val="24"/>
          <w:szCs w:val="24"/>
          <w:lang w:val="es-419"/>
        </w:rPr>
        <w:t xml:space="preserve">el 83% </w:t>
      </w:r>
      <w:r w:rsidRPr="000741E8">
        <w:rPr>
          <w:rFonts w:ascii="Times New Roman" w:hAnsi="Times New Roman"/>
          <w:color w:val="000000"/>
          <w:sz w:val="24"/>
          <w:szCs w:val="24"/>
          <w:lang w:val="es-419"/>
        </w:rPr>
        <w:t>del pasivo que</w:t>
      </w:r>
      <w:r w:rsidRPr="000741E8">
        <w:rPr>
          <w:rFonts w:ascii="Times New Roman" w:hAnsi="Times New Roman"/>
          <w:color w:val="000000" w:themeColor="text1"/>
          <w:sz w:val="24"/>
          <w:szCs w:val="24"/>
          <w:lang w:val="es-419"/>
        </w:rPr>
        <w:t xml:space="preserve"> comparado con el saldo de 2018 por valor $42.357.621 m</w:t>
      </w:r>
      <w:r w:rsidRPr="000741E8">
        <w:rPr>
          <w:rFonts w:ascii="Times New Roman" w:eastAsia="Times New Roman" w:hAnsi="Times New Roman"/>
          <w:bCs/>
          <w:color w:val="000000" w:themeColor="text1"/>
          <w:sz w:val="24"/>
          <w:szCs w:val="24"/>
          <w:lang w:val="es-419" w:eastAsia="es-CO"/>
        </w:rPr>
        <w:t>uestra una variación de $</w:t>
      </w:r>
      <w:r w:rsidRPr="000741E8">
        <w:rPr>
          <w:rFonts w:ascii="Times New Roman" w:hAnsi="Times New Roman"/>
          <w:b/>
          <w:bCs/>
          <w:color w:val="000000"/>
          <w:sz w:val="24"/>
          <w:szCs w:val="24"/>
        </w:rPr>
        <w:t xml:space="preserve"> </w:t>
      </w:r>
      <w:r w:rsidRPr="000741E8">
        <w:rPr>
          <w:rFonts w:ascii="Times New Roman" w:eastAsia="Times New Roman" w:hAnsi="Times New Roman"/>
          <w:bCs/>
          <w:color w:val="000000" w:themeColor="text1"/>
          <w:sz w:val="24"/>
          <w:szCs w:val="24"/>
          <w:lang w:eastAsia="es-CO"/>
        </w:rPr>
        <w:t>3.220.45</w:t>
      </w:r>
      <w:r w:rsidRPr="000741E8">
        <w:rPr>
          <w:rFonts w:ascii="Times New Roman" w:eastAsia="Times New Roman" w:hAnsi="Times New Roman"/>
          <w:bCs/>
          <w:color w:val="000000" w:themeColor="text1"/>
          <w:sz w:val="24"/>
          <w:szCs w:val="24"/>
          <w:lang w:val="es-419" w:eastAsia="es-CO"/>
        </w:rPr>
        <w:t xml:space="preserve">4 equivalentes al 7.07%. Los incrementos más representativos se perciben en la subcuenta Beneficios a los Empleados a corto plazo así: </w:t>
      </w:r>
    </w:p>
    <w:p w:rsidR="0065290A" w:rsidRPr="000741E8" w:rsidRDefault="0065290A" w:rsidP="0065290A">
      <w:pPr>
        <w:pStyle w:val="Ttulo2"/>
        <w:numPr>
          <w:ilvl w:val="0"/>
          <w:numId w:val="0"/>
        </w:numPr>
        <w:rPr>
          <w:rFonts w:eastAsia="Times New Roman" w:cs="Times New Roman"/>
          <w:szCs w:val="24"/>
          <w:lang w:val="es-419" w:eastAsia="es-CO"/>
        </w:rPr>
      </w:pPr>
      <w:bookmarkStart w:id="59" w:name="_Toc30823518"/>
      <w:r w:rsidRPr="000741E8">
        <w:rPr>
          <w:rFonts w:eastAsia="Times New Roman" w:cs="Times New Roman"/>
          <w:szCs w:val="24"/>
          <w:lang w:val="es-419" w:eastAsia="es-CO"/>
        </w:rPr>
        <w:t>22.1. Beneficios a los empleados a corto plazo</w:t>
      </w:r>
      <w:bookmarkEnd w:id="59"/>
    </w:p>
    <w:p w:rsidR="0065290A" w:rsidRPr="000741E8" w:rsidRDefault="0065290A" w:rsidP="0065290A">
      <w:pPr>
        <w:jc w:val="both"/>
        <w:rPr>
          <w:rFonts w:ascii="Times New Roman" w:eastAsia="Times New Roman" w:hAnsi="Times New Roman"/>
          <w:bCs/>
          <w:color w:val="000000" w:themeColor="text1"/>
          <w:sz w:val="24"/>
          <w:szCs w:val="24"/>
          <w:lang w:val="es-419" w:eastAsia="es-CO"/>
        </w:rPr>
      </w:pPr>
    </w:p>
    <w:p w:rsidR="0065290A" w:rsidRPr="000741E8" w:rsidRDefault="0065290A" w:rsidP="0065290A">
      <w:pPr>
        <w:pStyle w:val="Ttulo3"/>
        <w:rPr>
          <w:rFonts w:eastAsia="Times New Roman"/>
          <w:lang w:val="es-419" w:eastAsia="es-CO"/>
        </w:rPr>
      </w:pPr>
      <w:bookmarkStart w:id="60" w:name="_Toc30823519"/>
      <w:r w:rsidRPr="000741E8">
        <w:rPr>
          <w:rFonts w:eastAsia="Times New Roman"/>
          <w:lang w:val="es-419" w:eastAsia="es-CO"/>
        </w:rPr>
        <w:t>Anexo 22.1</w:t>
      </w:r>
      <w:bookmarkEnd w:id="60"/>
    </w:p>
    <w:p w:rsidR="0065290A" w:rsidRPr="000741E8" w:rsidRDefault="0065290A" w:rsidP="0065290A">
      <w:pPr>
        <w:jc w:val="both"/>
        <w:rPr>
          <w:rFonts w:ascii="Times New Roman" w:eastAsia="Times New Roman" w:hAnsi="Times New Roman"/>
          <w:bCs/>
          <w:color w:val="000000" w:themeColor="text1"/>
          <w:sz w:val="24"/>
          <w:szCs w:val="24"/>
          <w:lang w:val="es-419" w:eastAsia="es-CO"/>
        </w:rPr>
      </w:pPr>
      <w:r w:rsidRPr="000741E8">
        <w:rPr>
          <w:rFonts w:ascii="Times New Roman" w:hAnsi="Times New Roman"/>
          <w:noProof/>
          <w:sz w:val="24"/>
          <w:szCs w:val="24"/>
          <w:lang w:eastAsia="es-CO"/>
        </w:rPr>
        <w:drawing>
          <wp:inline distT="0" distB="0" distL="0" distR="0" wp14:anchorId="19D1B01B" wp14:editId="1C5DBC8D">
            <wp:extent cx="5791523" cy="3097763"/>
            <wp:effectExtent l="0" t="0" r="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9237" cy="3101889"/>
                    </a:xfrm>
                    <a:prstGeom prst="rect">
                      <a:avLst/>
                    </a:prstGeom>
                    <a:noFill/>
                    <a:ln>
                      <a:noFill/>
                    </a:ln>
                  </pic:spPr>
                </pic:pic>
              </a:graphicData>
            </a:graphic>
          </wp:inline>
        </w:drawing>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lastRenderedPageBreak/>
        <w:t>La subcuenta más representativa corresponde a Vacaciones con un valor de $8.404.205.195,13 equivalentes al 35.6%, Cesantías con $5.835.872.853 que representa el 24.7%, del total del saldo de los beneficios a los empleados a corto plazo.</w:t>
      </w:r>
    </w:p>
    <w:p w:rsidR="0065290A" w:rsidRPr="000741E8" w:rsidRDefault="0065290A" w:rsidP="0065290A">
      <w:pPr>
        <w:jc w:val="both"/>
        <w:rPr>
          <w:rFonts w:ascii="Times New Roman" w:hAnsi="Times New Roman"/>
          <w:b/>
          <w:color w:val="000000" w:themeColor="text1"/>
          <w:sz w:val="24"/>
          <w:szCs w:val="24"/>
        </w:rPr>
      </w:pPr>
      <w:r w:rsidRPr="000741E8">
        <w:rPr>
          <w:rFonts w:ascii="Times New Roman" w:hAnsi="Times New Roman"/>
          <w:b/>
          <w:color w:val="000000" w:themeColor="text1"/>
          <w:sz w:val="24"/>
          <w:szCs w:val="24"/>
        </w:rPr>
        <w:t>Naturaleza de los beneficios a corto plazo:</w:t>
      </w:r>
    </w:p>
    <w:p w:rsidR="0065290A" w:rsidRPr="000741E8" w:rsidRDefault="0065290A" w:rsidP="0065290A">
      <w:pPr>
        <w:pStyle w:val="NormalWeb"/>
        <w:shd w:val="clear" w:color="auto" w:fill="FFFFFF"/>
        <w:spacing w:before="0" w:beforeAutospacing="0" w:after="150" w:afterAutospacing="0"/>
        <w:jc w:val="both"/>
        <w:rPr>
          <w:color w:val="000000" w:themeColor="text1"/>
        </w:rPr>
      </w:pPr>
      <w:r w:rsidRPr="000741E8">
        <w:rPr>
          <w:rFonts w:eastAsia="Arial"/>
          <w:b/>
          <w:color w:val="000000" w:themeColor="text1"/>
        </w:rPr>
        <w:t xml:space="preserve">Bonificación por servicios prestados: </w:t>
      </w:r>
      <w:r w:rsidRPr="000741E8">
        <w:rPr>
          <w:color w:val="000000" w:themeColor="text1"/>
        </w:rPr>
        <w:t>Es un factor salarial que se reconoce al funcionario, cada vez que cumpla un año continuo de labor en una misma entidad del distrito capital. Es equivalente al 50% del valor conjunto de la asignación básica mensual, la prima por antigüedad y los gastos de representación que correspondan al funcionario en la fecha en que se cause el derecho a percibirla, siempre que no devengue una remuneración mensual por concepto de asignación básica y gastos de representación superior al tope máximo señalado por el gobierno nacional para los empleados públicos de la rama ejecutiva del poder público, en la fecha en que se cause el derecho a percibirla.</w:t>
      </w:r>
    </w:p>
    <w:p w:rsidR="0065290A" w:rsidRPr="000741E8" w:rsidRDefault="0065290A" w:rsidP="0065290A">
      <w:pPr>
        <w:pStyle w:val="NormalWeb"/>
        <w:shd w:val="clear" w:color="auto" w:fill="FFFFFF"/>
        <w:spacing w:before="0" w:beforeAutospacing="0" w:after="150" w:afterAutospacing="0"/>
        <w:jc w:val="both"/>
        <w:rPr>
          <w:color w:val="000000" w:themeColor="text1"/>
        </w:rPr>
      </w:pPr>
      <w:r w:rsidRPr="000741E8">
        <w:rPr>
          <w:color w:val="000000" w:themeColor="text1"/>
        </w:rPr>
        <w:t>Para los demás empleados, la bonificación por servicios prestados será equivalente al treinta y cinco por ciento (35%) del valor conjunto de los factores de salario señalados en el inciso anterior.</w:t>
      </w:r>
    </w:p>
    <w:p w:rsidR="0065290A" w:rsidRPr="000741E8" w:rsidRDefault="0065290A" w:rsidP="0065290A">
      <w:pPr>
        <w:pStyle w:val="NormalWeb"/>
        <w:shd w:val="clear" w:color="auto" w:fill="FFFFFF"/>
        <w:spacing w:after="150"/>
        <w:jc w:val="both"/>
        <w:rPr>
          <w:color w:val="000000" w:themeColor="text1"/>
        </w:rPr>
      </w:pPr>
      <w:r w:rsidRPr="000741E8">
        <w:rPr>
          <w:color w:val="000000" w:themeColor="text1"/>
        </w:rPr>
        <w:t xml:space="preserve">Cuando un funcionario provenga de otra entidad pública Distrital o del orden nacional, el tiempo laborado en esa entidad será computado para efectos de la liquidación de dicha bonificación, siempre que no haya solución de continuidad en el servicio. Se entenderá que no hay solución de continuidad si entre la fecha de retiro y la fecha de la nueva posesión, no transcurrieren más de quince (15) días hábiles, de conformidad con lo señalado en el Acuerdo 92 del 26 de junio de 2003; aplica igualmente en caso de que no haya solución de continuidad. </w:t>
      </w:r>
    </w:p>
    <w:p w:rsidR="0065290A" w:rsidRPr="000741E8" w:rsidRDefault="0065290A" w:rsidP="0065290A">
      <w:pPr>
        <w:ind w:right="146"/>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Prima semestral o de servicios</w:t>
      </w:r>
      <w:r w:rsidRPr="000741E8">
        <w:rPr>
          <w:rFonts w:ascii="Times New Roman" w:hAnsi="Times New Roman"/>
          <w:b/>
          <w:color w:val="000000" w:themeColor="text1"/>
          <w:sz w:val="24"/>
          <w:szCs w:val="24"/>
          <w:lang w:val="es-419"/>
        </w:rPr>
        <w:t xml:space="preserve">: </w:t>
      </w:r>
      <w:r w:rsidRPr="000741E8">
        <w:rPr>
          <w:rFonts w:ascii="Times New Roman" w:hAnsi="Times New Roman"/>
          <w:color w:val="000000" w:themeColor="text1"/>
          <w:sz w:val="24"/>
          <w:szCs w:val="24"/>
        </w:rPr>
        <w:t xml:space="preserve">Es un factor salarial cuyo reconocimiento es otorgado a los Servidores Públicos que hayan laborado durante el primer semestre del año y proporcionalmente, a quienes laboren por lo menos tres (3) meses completos del semestre; en el Distrito es equivalente a treinta y siete (37) días de salario. Constituye factor salarial para liquidar vacaciones, prima de vacaciones, prima de navidad y cesantías. Para efectos del reconocimiento de la prima semestral se entenderán por meses completos los del calendario, de conformidad con lo establecido en el artículo 59 de la Ley 4ª de 1913. </w:t>
      </w:r>
    </w:p>
    <w:p w:rsidR="0065290A" w:rsidRPr="000741E8" w:rsidRDefault="0065290A" w:rsidP="0065290A">
      <w:pPr>
        <w:ind w:right="49"/>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Vacaciones y prima de</w:t>
      </w:r>
      <w:r w:rsidRPr="000741E8">
        <w:rPr>
          <w:rFonts w:ascii="Times New Roman" w:hAnsi="Times New Roman"/>
          <w:color w:val="000000" w:themeColor="text1"/>
          <w:sz w:val="24"/>
          <w:szCs w:val="24"/>
        </w:rPr>
        <w:t xml:space="preserve"> </w:t>
      </w:r>
      <w:r w:rsidRPr="000741E8">
        <w:rPr>
          <w:rFonts w:ascii="Times New Roman" w:hAnsi="Times New Roman"/>
          <w:b/>
          <w:color w:val="000000" w:themeColor="text1"/>
          <w:sz w:val="24"/>
          <w:szCs w:val="24"/>
        </w:rPr>
        <w:t>vacaciones</w:t>
      </w:r>
      <w:r w:rsidRPr="000741E8">
        <w:rPr>
          <w:rFonts w:ascii="Times New Roman" w:hAnsi="Times New Roman"/>
          <w:b/>
          <w:color w:val="000000" w:themeColor="text1"/>
          <w:sz w:val="24"/>
          <w:szCs w:val="24"/>
          <w:lang w:val="es-419"/>
        </w:rPr>
        <w:t xml:space="preserve">: </w:t>
      </w:r>
      <w:r w:rsidRPr="000741E8">
        <w:rPr>
          <w:rFonts w:ascii="Times New Roman" w:hAnsi="Times New Roman"/>
          <w:color w:val="000000" w:themeColor="text1"/>
          <w:sz w:val="24"/>
          <w:szCs w:val="24"/>
        </w:rPr>
        <w:t xml:space="preserve">Es un reconocimiento que se otorga a los Servidor Públicos y que es equivalente a quince (15) días de salario por cada año de servicio. La liquidación y pago de las vacaciones se efectuará con base en el salario devengado por el trabajador al momento de iniciar el disfrute.  Deberá pagarse dentro de los cinco (5) días hábiles anteriores a la fecha señalada para la iniciación del descanso remunerado. </w:t>
      </w:r>
    </w:p>
    <w:p w:rsidR="0065290A" w:rsidRPr="000741E8" w:rsidRDefault="0065290A" w:rsidP="0065290A">
      <w:pPr>
        <w:jc w:val="both"/>
        <w:rPr>
          <w:rFonts w:ascii="Times New Roman" w:hAnsi="Times New Roman"/>
          <w:b/>
          <w:color w:val="000000" w:themeColor="text1"/>
          <w:sz w:val="24"/>
          <w:szCs w:val="24"/>
        </w:rPr>
      </w:pPr>
      <w:r w:rsidRPr="000741E8">
        <w:rPr>
          <w:rFonts w:ascii="Times New Roman" w:hAnsi="Times New Roman"/>
          <w:color w:val="000000" w:themeColor="text1"/>
          <w:sz w:val="24"/>
          <w:szCs w:val="24"/>
        </w:rPr>
        <w:t xml:space="preserve">Esta prestación se liquida de acuerdo con los siguientes factores salariales: Asignación Básica, Prima de Antigüedad, Gastos de Representación, Prima Técnica, Auxilio de Alimentación, Subsidio de Transporte, (una doceava de la Prima Semestral y una doceava de Bonificación por Servicios). </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lastRenderedPageBreak/>
        <w:t xml:space="preserve">Bonificación por recreación: </w:t>
      </w:r>
      <w:r w:rsidRPr="000741E8">
        <w:rPr>
          <w:rFonts w:ascii="Times New Roman" w:hAnsi="Times New Roman"/>
          <w:color w:val="000000" w:themeColor="text1"/>
          <w:sz w:val="24"/>
          <w:szCs w:val="24"/>
        </w:rPr>
        <w:t xml:space="preserve">Que el artículo 3º del Decreto 451 de 1984, expresa que los empleados públicos tendrán derecho a una bonificación especial por recreación, la cual equivale a dos (2) días de la asignación básica mensual. </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Factor para la liquidación bonificación por recreación</w:t>
      </w:r>
      <w:r w:rsidRPr="000741E8">
        <w:rPr>
          <w:rFonts w:ascii="Times New Roman" w:hAnsi="Times New Roman"/>
          <w:b/>
          <w:color w:val="000000" w:themeColor="text1"/>
          <w:sz w:val="24"/>
          <w:szCs w:val="24"/>
          <w:lang w:val="es-419"/>
        </w:rPr>
        <w:t xml:space="preserve">: </w:t>
      </w:r>
      <w:r w:rsidRPr="000741E8">
        <w:rPr>
          <w:rFonts w:ascii="Times New Roman" w:hAnsi="Times New Roman"/>
          <w:color w:val="000000" w:themeColor="text1"/>
          <w:sz w:val="24"/>
          <w:szCs w:val="24"/>
        </w:rPr>
        <w:t>Este emolumento se liquida de acuerdo con los siguientes factores Asignación Básica.</w:t>
      </w:r>
    </w:p>
    <w:p w:rsidR="0065290A" w:rsidRPr="000741E8" w:rsidRDefault="0065290A" w:rsidP="0065290A">
      <w:pPr>
        <w:ind w:right="49"/>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Prima de navidad:</w:t>
      </w:r>
      <w:r w:rsidRPr="000741E8">
        <w:rPr>
          <w:rFonts w:ascii="Times New Roman" w:hAnsi="Times New Roman"/>
          <w:color w:val="000000" w:themeColor="text1"/>
          <w:sz w:val="24"/>
          <w:szCs w:val="24"/>
        </w:rPr>
        <w:t xml:space="preserve"> Es una prestación social que se reconoce a los empleados públicos y a los trabajadores oficiales, equivalente a un (1) mes de salario que corresponda al cargo desempeñado en treinta (30) de noviembre de cada año.  La prima se pagará en la primera quincena del mes de diciembre. </w:t>
      </w:r>
    </w:p>
    <w:p w:rsidR="0065290A" w:rsidRPr="000741E8" w:rsidRDefault="0065290A" w:rsidP="0065290A">
      <w:pPr>
        <w:ind w:right="49"/>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Factores para liquidar la prima de navidad</w:t>
      </w:r>
      <w:r w:rsidRPr="000741E8">
        <w:rPr>
          <w:rFonts w:ascii="Times New Roman" w:hAnsi="Times New Roman"/>
          <w:b/>
          <w:color w:val="000000" w:themeColor="text1"/>
          <w:sz w:val="24"/>
          <w:szCs w:val="24"/>
          <w:lang w:val="es-419"/>
        </w:rPr>
        <w:t>:</w:t>
      </w:r>
      <w:r w:rsidRPr="000741E8">
        <w:rPr>
          <w:rFonts w:ascii="Times New Roman" w:hAnsi="Times New Roman"/>
          <w:color w:val="000000" w:themeColor="text1"/>
          <w:sz w:val="24"/>
          <w:szCs w:val="24"/>
        </w:rPr>
        <w:t xml:space="preserve"> Para la liquidación se tienen en cuenta los siguientes factores: Asignación Básica Mensual; Prima de Antigüedad; Gastos de Representación; Prima Técnica; Auxilio de Transporte y Subsidio de Alimentación; (una doceava de la Prima Semestral o de Servicios; Prima Vacacional y Bonificación por Servicios Prestados). Los factores salariales se deberán tomar del 1º de enero del año en curso hasta el 30 de noviembre del mismo año en </w:t>
      </w:r>
      <w:r w:rsidRPr="000741E8">
        <w:rPr>
          <w:rFonts w:ascii="Times New Roman" w:hAnsi="Times New Roman"/>
          <w:color w:val="000000" w:themeColor="text1"/>
          <w:sz w:val="24"/>
          <w:szCs w:val="24"/>
          <w:lang w:val="es-419"/>
        </w:rPr>
        <w:t xml:space="preserve">que </w:t>
      </w:r>
      <w:r w:rsidRPr="000741E8">
        <w:rPr>
          <w:rFonts w:ascii="Times New Roman" w:hAnsi="Times New Roman"/>
          <w:color w:val="000000" w:themeColor="text1"/>
          <w:sz w:val="24"/>
          <w:szCs w:val="24"/>
        </w:rPr>
        <w:t xml:space="preserve">se liquida. </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color w:val="000000" w:themeColor="text1"/>
          <w:sz w:val="24"/>
          <w:szCs w:val="24"/>
        </w:rPr>
        <w:t xml:space="preserve">La Dirección de las Tecnologías de la Información y las Comunicaciones incorporo en el módulo Perno, un reporte con el fin que se tenga el cálculo de la alícuota mensual de las prestaciones sociales mensuales por los diferentes conceptos mencionados anteriormente. </w:t>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Ttulo2"/>
        <w:numPr>
          <w:ilvl w:val="0"/>
          <w:numId w:val="0"/>
        </w:numPr>
        <w:rPr>
          <w:rFonts w:cs="Times New Roman"/>
          <w:szCs w:val="24"/>
          <w:lang w:val="es-419"/>
        </w:rPr>
      </w:pPr>
      <w:bookmarkStart w:id="61" w:name="_Toc30823520"/>
      <w:r w:rsidRPr="000741E8">
        <w:rPr>
          <w:rFonts w:cs="Times New Roman"/>
          <w:szCs w:val="24"/>
          <w:lang w:val="es-419"/>
        </w:rPr>
        <w:t>22.2. Beneficios y plan de activos para beneficios a los empleados a largo plazo</w:t>
      </w:r>
      <w:bookmarkEnd w:id="61"/>
      <w:r w:rsidRPr="000741E8">
        <w:rPr>
          <w:rFonts w:cs="Times New Roman"/>
          <w:szCs w:val="24"/>
          <w:lang w:val="es-419"/>
        </w:rPr>
        <w:t xml:space="preserve"> </w:t>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62" w:name="_Toc30823521"/>
      <w:r w:rsidRPr="000741E8">
        <w:rPr>
          <w:rFonts w:cs="Times New Roman"/>
          <w:lang w:val="es-419"/>
        </w:rPr>
        <w:t>Anexo 22.2</w:t>
      </w:r>
      <w:bookmarkEnd w:id="62"/>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53171E4D" wp14:editId="38F248D7">
            <wp:extent cx="5611908" cy="1735950"/>
            <wp:effectExtent l="19050" t="19050" r="27305" b="1714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t="14836"/>
                    <a:stretch/>
                  </pic:blipFill>
                  <pic:spPr bwMode="auto">
                    <a:xfrm>
                      <a:off x="0" y="0"/>
                      <a:ext cx="5613400" cy="173641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jc w:val="both"/>
        <w:rPr>
          <w:rFonts w:ascii="Times New Roman" w:hAnsi="Times New Roman"/>
          <w:color w:val="FF0000"/>
          <w:sz w:val="24"/>
          <w:szCs w:val="24"/>
        </w:rPr>
      </w:pPr>
      <w:r w:rsidRPr="000741E8">
        <w:rPr>
          <w:rFonts w:ascii="Times New Roman" w:hAnsi="Times New Roman"/>
          <w:color w:val="000000" w:themeColor="text1"/>
          <w:sz w:val="24"/>
          <w:szCs w:val="24"/>
        </w:rPr>
        <w:t xml:space="preserve">El saldo a 31 de diciembre de 2019 </w:t>
      </w:r>
      <w:r w:rsidRPr="000741E8">
        <w:rPr>
          <w:rFonts w:ascii="Times New Roman" w:hAnsi="Times New Roman"/>
          <w:color w:val="000000" w:themeColor="text1"/>
          <w:sz w:val="24"/>
          <w:szCs w:val="24"/>
          <w:lang w:val="es-419"/>
        </w:rPr>
        <w:t xml:space="preserve">corresponde a </w:t>
      </w:r>
      <w:r w:rsidRPr="000741E8">
        <w:rPr>
          <w:rFonts w:ascii="Times New Roman" w:hAnsi="Times New Roman"/>
          <w:color w:val="000000" w:themeColor="text1"/>
          <w:sz w:val="24"/>
          <w:szCs w:val="24"/>
        </w:rPr>
        <w:t>$22</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018</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201</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4</w:t>
      </w:r>
      <w:r w:rsidRPr="000741E8">
        <w:rPr>
          <w:rFonts w:ascii="Times New Roman" w:hAnsi="Times New Roman"/>
          <w:color w:val="000000" w:themeColor="text1"/>
          <w:sz w:val="24"/>
          <w:szCs w:val="24"/>
          <w:lang w:val="es-419"/>
        </w:rPr>
        <w:t xml:space="preserve">59 esta </w:t>
      </w:r>
      <w:r w:rsidRPr="000741E8">
        <w:rPr>
          <w:rFonts w:ascii="Times New Roman" w:hAnsi="Times New Roman"/>
          <w:color w:val="000000" w:themeColor="text1"/>
          <w:sz w:val="24"/>
          <w:szCs w:val="24"/>
        </w:rPr>
        <w:t>constituido por Cesantías Retroactivas</w:t>
      </w:r>
      <w:r w:rsidRPr="000741E8">
        <w:rPr>
          <w:rFonts w:ascii="Times New Roman" w:hAnsi="Times New Roman"/>
          <w:color w:val="000000" w:themeColor="text1"/>
          <w:sz w:val="24"/>
          <w:szCs w:val="24"/>
          <w:lang w:val="es-419"/>
        </w:rPr>
        <w:t xml:space="preserve"> por valor de</w:t>
      </w:r>
      <w:r w:rsidRPr="000741E8">
        <w:rPr>
          <w:rFonts w:ascii="Times New Roman" w:hAnsi="Times New Roman"/>
          <w:color w:val="000000" w:themeColor="text1"/>
          <w:sz w:val="24"/>
          <w:szCs w:val="24"/>
        </w:rPr>
        <w:t xml:space="preserve"> ($15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765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745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6</w:t>
      </w:r>
      <w:r w:rsidRPr="000741E8">
        <w:rPr>
          <w:rFonts w:ascii="Times New Roman" w:hAnsi="Times New Roman"/>
          <w:color w:val="000000" w:themeColor="text1"/>
          <w:sz w:val="24"/>
          <w:szCs w:val="24"/>
          <w:lang w:val="es-419"/>
        </w:rPr>
        <w:t xml:space="preserve">03) </w:t>
      </w:r>
      <w:r w:rsidRPr="000741E8">
        <w:rPr>
          <w:rFonts w:ascii="Times New Roman" w:hAnsi="Times New Roman"/>
          <w:color w:val="000000" w:themeColor="text1"/>
          <w:sz w:val="24"/>
          <w:szCs w:val="24"/>
        </w:rPr>
        <w:t xml:space="preserve">y Reconocimiento por Permanencia  </w:t>
      </w:r>
      <w:r w:rsidRPr="000741E8">
        <w:rPr>
          <w:rFonts w:ascii="Times New Roman" w:hAnsi="Times New Roman"/>
          <w:color w:val="000000" w:themeColor="text1"/>
          <w:sz w:val="24"/>
          <w:szCs w:val="24"/>
          <w:lang w:val="es-419"/>
        </w:rPr>
        <w:t xml:space="preserve">por valor de ($6.252.455.855,98), de </w:t>
      </w:r>
      <w:r w:rsidRPr="000741E8">
        <w:rPr>
          <w:rFonts w:ascii="Times New Roman" w:hAnsi="Times New Roman"/>
          <w:color w:val="000000" w:themeColor="text1"/>
          <w:sz w:val="24"/>
          <w:szCs w:val="24"/>
        </w:rPr>
        <w:t>l</w:t>
      </w:r>
      <w:r w:rsidRPr="000741E8">
        <w:rPr>
          <w:rFonts w:ascii="Times New Roman" w:hAnsi="Times New Roman"/>
          <w:color w:val="000000" w:themeColor="text1"/>
          <w:sz w:val="24"/>
          <w:szCs w:val="24"/>
          <w:lang w:val="es-419"/>
        </w:rPr>
        <w:t>o</w:t>
      </w:r>
      <w:r w:rsidRPr="000741E8">
        <w:rPr>
          <w:rFonts w:ascii="Times New Roman" w:hAnsi="Times New Roman"/>
          <w:color w:val="000000" w:themeColor="text1"/>
          <w:sz w:val="24"/>
          <w:szCs w:val="24"/>
        </w:rPr>
        <w:t>s cuales $</w:t>
      </w:r>
      <w:r w:rsidRPr="000741E8">
        <w:rPr>
          <w:rFonts w:ascii="Times New Roman" w:hAnsi="Times New Roman"/>
          <w:sz w:val="24"/>
          <w:szCs w:val="24"/>
        </w:rPr>
        <w:t>946</w:t>
      </w:r>
      <w:r w:rsidRPr="000741E8">
        <w:rPr>
          <w:rFonts w:ascii="Times New Roman" w:hAnsi="Times New Roman"/>
          <w:sz w:val="24"/>
          <w:szCs w:val="24"/>
          <w:lang w:val="es-419"/>
        </w:rPr>
        <w:t>.</w:t>
      </w:r>
      <w:r w:rsidRPr="000741E8">
        <w:rPr>
          <w:rFonts w:ascii="Times New Roman" w:hAnsi="Times New Roman"/>
          <w:sz w:val="24"/>
          <w:szCs w:val="24"/>
        </w:rPr>
        <w:t>154</w:t>
      </w:r>
      <w:r w:rsidRPr="000741E8">
        <w:rPr>
          <w:rFonts w:ascii="Times New Roman" w:hAnsi="Times New Roman"/>
          <w:sz w:val="24"/>
          <w:szCs w:val="24"/>
          <w:lang w:val="es-419"/>
        </w:rPr>
        <w:t>.</w:t>
      </w:r>
      <w:r w:rsidRPr="000741E8">
        <w:rPr>
          <w:rFonts w:ascii="Times New Roman" w:hAnsi="Times New Roman"/>
          <w:sz w:val="24"/>
          <w:szCs w:val="24"/>
        </w:rPr>
        <w:t>9</w:t>
      </w:r>
      <w:r w:rsidRPr="000741E8">
        <w:rPr>
          <w:rFonts w:ascii="Times New Roman" w:hAnsi="Times New Roman"/>
          <w:sz w:val="24"/>
          <w:szCs w:val="24"/>
          <w:lang w:val="es-419"/>
        </w:rPr>
        <w:t xml:space="preserve">05 corresponde a reconocimiento por permanencia que se encuentra clasificado como corriente y que se espera cancelar en la nómina de enero de 2020.       </w:t>
      </w:r>
    </w:p>
    <w:p w:rsidR="0065290A" w:rsidRPr="000741E8" w:rsidRDefault="0065290A" w:rsidP="0065290A">
      <w:pPr>
        <w:pStyle w:val="Ttulo4"/>
        <w:rPr>
          <w:rFonts w:ascii="Times New Roman" w:hAnsi="Times New Roman" w:cs="Times New Roman"/>
          <w:i w:val="0"/>
          <w:color w:val="auto"/>
          <w:sz w:val="24"/>
          <w:szCs w:val="24"/>
          <w:lang w:val="es-419"/>
        </w:rPr>
      </w:pPr>
      <w:r w:rsidRPr="000741E8">
        <w:rPr>
          <w:rFonts w:ascii="Times New Roman" w:hAnsi="Times New Roman" w:cs="Times New Roman"/>
          <w:i w:val="0"/>
          <w:color w:val="auto"/>
          <w:sz w:val="24"/>
          <w:szCs w:val="24"/>
          <w:lang w:val="es-419"/>
        </w:rPr>
        <w:lastRenderedPageBreak/>
        <w:t>22.2.1. Revelaciones cesantías retroactivas</w:t>
      </w:r>
    </w:p>
    <w:p w:rsidR="0065290A" w:rsidRPr="000741E8" w:rsidRDefault="0065290A" w:rsidP="0065290A">
      <w:pPr>
        <w:rPr>
          <w:rFonts w:ascii="Times New Roman" w:hAnsi="Times New Roman"/>
          <w:b/>
          <w:color w:val="000000" w:themeColor="text1"/>
          <w:sz w:val="24"/>
          <w:szCs w:val="24"/>
          <w:lang w:val="es-419"/>
        </w:rPr>
      </w:pP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Revelación cuantitativa</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Las cesantías como prestación social, corresponden a un derecho del trabajador y funciona como un seguro para el mismo, cuando se encuentra en condición cesante.</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La reforma laboral, Ley 50 de 1990 operan de manera simultánea dos regímenes o modalidades en el mercado laboral colombiano: Régimen de retroactividad y régimen anualizado.</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La Contraloría de Bogotá D.C., dentro de la planta de personal</w:t>
      </w:r>
      <w:r w:rsidRPr="000741E8">
        <w:rPr>
          <w:rFonts w:ascii="Times New Roman" w:hAnsi="Times New Roman"/>
          <w:color w:val="FF0000"/>
          <w:sz w:val="24"/>
          <w:szCs w:val="24"/>
          <w:lang w:val="es-419"/>
        </w:rPr>
        <w:t xml:space="preserve"> </w:t>
      </w:r>
      <w:r w:rsidRPr="000741E8">
        <w:rPr>
          <w:rFonts w:ascii="Times New Roman" w:hAnsi="Times New Roman"/>
          <w:color w:val="000000" w:themeColor="text1"/>
          <w:sz w:val="24"/>
          <w:szCs w:val="24"/>
          <w:lang w:val="es-419"/>
        </w:rPr>
        <w:t>cuenta con  servidores públicos en régimen de retroactividad; dicho grupo de funcionarios pueden afiliarse a los Fondos Públicos, es decir: FONCEP o Fondo Nacional del Ahorro (FNA).</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A continuación se detalla la gestión adelantada entre la Contraloría de Bogotá D.C. y el Fondo de Prestaciones económicas Cesantías y Pensiones FONCEP, para la vigencia 2019.</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 xml:space="preserve">FONCEP, constituyó una fiducia para el manejo de los recursos girados en el cual se administran los pagos de las cesantías retroactivas de los funcionarios que las soliciten. Los giros corresponden al 9% del valor de la nómina de los funcionarios de régimen antiguo, adicionalmente se cancela como comisión el 2% del valor de las cesantías consignadas.  </w:t>
      </w: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 xml:space="preserve">Recursos girados a FONCEP por aporte de cesantías retroactivas en 2019. </w:t>
      </w:r>
    </w:p>
    <w:p w:rsidR="0065290A" w:rsidRPr="000741E8" w:rsidRDefault="0065290A" w:rsidP="0065290A">
      <w:pPr>
        <w:jc w:val="both"/>
        <w:rPr>
          <w:rFonts w:ascii="Times New Roman" w:hAnsi="Times New Roman"/>
          <w:color w:val="FF0000"/>
          <w:sz w:val="24"/>
          <w:szCs w:val="24"/>
          <w:lang w:val="es-419"/>
        </w:rPr>
      </w:pPr>
      <w:r w:rsidRPr="000741E8">
        <w:rPr>
          <w:rFonts w:ascii="Times New Roman" w:hAnsi="Times New Roman"/>
          <w:color w:val="000000" w:themeColor="text1"/>
          <w:sz w:val="24"/>
          <w:szCs w:val="24"/>
          <w:lang w:val="es-419"/>
        </w:rPr>
        <w:t>En la vigencia 2019 la Entidad causo lo correspondiente al 9% del valor de la nómina de los empleados con régimen de retroactividad con destino a FONCEP por un valor de $</w:t>
      </w:r>
      <w:r w:rsidRPr="000741E8">
        <w:rPr>
          <w:rFonts w:ascii="Times New Roman" w:hAnsi="Times New Roman"/>
          <w:bCs/>
          <w:sz w:val="24"/>
          <w:szCs w:val="24"/>
        </w:rPr>
        <w:t>2</w:t>
      </w:r>
      <w:r w:rsidRPr="000741E8">
        <w:rPr>
          <w:rFonts w:ascii="Times New Roman" w:hAnsi="Times New Roman"/>
          <w:bCs/>
          <w:sz w:val="24"/>
          <w:szCs w:val="24"/>
          <w:lang w:val="es-419"/>
        </w:rPr>
        <w:t>.</w:t>
      </w:r>
      <w:r w:rsidRPr="000741E8">
        <w:rPr>
          <w:rFonts w:ascii="Times New Roman" w:hAnsi="Times New Roman"/>
          <w:bCs/>
          <w:sz w:val="24"/>
          <w:szCs w:val="24"/>
        </w:rPr>
        <w:t>362</w:t>
      </w:r>
      <w:r w:rsidRPr="000741E8">
        <w:rPr>
          <w:rFonts w:ascii="Times New Roman" w:hAnsi="Times New Roman"/>
          <w:bCs/>
          <w:sz w:val="24"/>
          <w:szCs w:val="24"/>
          <w:lang w:val="es-419"/>
        </w:rPr>
        <w:t>.</w:t>
      </w:r>
      <w:r w:rsidRPr="000741E8">
        <w:rPr>
          <w:rFonts w:ascii="Times New Roman" w:hAnsi="Times New Roman"/>
          <w:bCs/>
          <w:sz w:val="24"/>
          <w:szCs w:val="24"/>
        </w:rPr>
        <w:t>968</w:t>
      </w:r>
      <w:r w:rsidRPr="000741E8">
        <w:rPr>
          <w:rFonts w:ascii="Times New Roman" w:hAnsi="Times New Roman"/>
          <w:bCs/>
          <w:sz w:val="24"/>
          <w:szCs w:val="24"/>
          <w:lang w:val="es-419"/>
        </w:rPr>
        <w:t>.</w:t>
      </w:r>
      <w:r w:rsidRPr="000741E8">
        <w:rPr>
          <w:rFonts w:ascii="Times New Roman" w:hAnsi="Times New Roman"/>
          <w:bCs/>
          <w:sz w:val="24"/>
          <w:szCs w:val="24"/>
        </w:rPr>
        <w:t>3</w:t>
      </w:r>
      <w:r w:rsidRPr="000741E8">
        <w:rPr>
          <w:rFonts w:ascii="Times New Roman" w:hAnsi="Times New Roman"/>
          <w:bCs/>
          <w:sz w:val="24"/>
          <w:szCs w:val="24"/>
          <w:lang w:val="es-419"/>
        </w:rPr>
        <w:t>24.</w:t>
      </w: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 xml:space="preserve">Valor pagado a </w:t>
      </w:r>
      <w:r w:rsidRPr="000741E8">
        <w:rPr>
          <w:rFonts w:ascii="Times New Roman" w:hAnsi="Times New Roman"/>
          <w:b/>
          <w:color w:val="000000" w:themeColor="text1"/>
          <w:sz w:val="24"/>
          <w:szCs w:val="24"/>
        </w:rPr>
        <w:t>FONCEP</w:t>
      </w:r>
      <w:r w:rsidRPr="000741E8">
        <w:rPr>
          <w:rFonts w:ascii="Times New Roman" w:hAnsi="Times New Roman"/>
          <w:b/>
          <w:color w:val="000000" w:themeColor="text1"/>
          <w:sz w:val="24"/>
          <w:szCs w:val="24"/>
          <w:lang w:val="es-419"/>
        </w:rPr>
        <w:t xml:space="preserve"> por comisión de administración de cesantías.</w:t>
      </w:r>
    </w:p>
    <w:p w:rsidR="0065290A" w:rsidRPr="000741E8" w:rsidRDefault="0065290A" w:rsidP="0065290A">
      <w:pPr>
        <w:jc w:val="both"/>
        <w:rPr>
          <w:rFonts w:ascii="Times New Roman" w:eastAsia="Times New Roman" w:hAnsi="Times New Roman"/>
          <w:color w:val="000000" w:themeColor="text1"/>
          <w:sz w:val="24"/>
          <w:szCs w:val="24"/>
          <w:lang w:val="es-419" w:eastAsia="es-ES"/>
        </w:rPr>
      </w:pPr>
      <w:r w:rsidRPr="000741E8">
        <w:rPr>
          <w:rFonts w:ascii="Times New Roman" w:eastAsia="Times New Roman" w:hAnsi="Times New Roman"/>
          <w:color w:val="000000" w:themeColor="text1"/>
          <w:sz w:val="24"/>
          <w:szCs w:val="24"/>
          <w:lang w:val="es-419" w:eastAsia="es-ES"/>
        </w:rPr>
        <w:t>L</w:t>
      </w:r>
      <w:r w:rsidRPr="000741E8">
        <w:rPr>
          <w:rFonts w:ascii="Times New Roman" w:eastAsia="Times New Roman" w:hAnsi="Times New Roman"/>
          <w:color w:val="000000" w:themeColor="text1"/>
          <w:sz w:val="24"/>
          <w:szCs w:val="24"/>
          <w:lang w:val="es-ES" w:eastAsia="es-ES"/>
        </w:rPr>
        <w:t xml:space="preserve">a Contraloría de Bogotá </w:t>
      </w:r>
      <w:r w:rsidRPr="000741E8">
        <w:rPr>
          <w:rFonts w:ascii="Times New Roman" w:eastAsia="Times New Roman" w:hAnsi="Times New Roman"/>
          <w:color w:val="000000" w:themeColor="text1"/>
          <w:sz w:val="24"/>
          <w:szCs w:val="24"/>
          <w:lang w:val="es-419" w:eastAsia="es-ES"/>
        </w:rPr>
        <w:t xml:space="preserve">D.C. </w:t>
      </w:r>
      <w:r w:rsidRPr="000741E8">
        <w:rPr>
          <w:rFonts w:ascii="Times New Roman" w:eastAsia="Times New Roman" w:hAnsi="Times New Roman"/>
          <w:color w:val="000000" w:themeColor="text1"/>
          <w:sz w:val="24"/>
          <w:szCs w:val="24"/>
          <w:lang w:val="es-ES" w:eastAsia="es-ES"/>
        </w:rPr>
        <w:t xml:space="preserve">reconoció y giro a FONCEP </w:t>
      </w:r>
      <w:r w:rsidRPr="000741E8">
        <w:rPr>
          <w:rFonts w:ascii="Times New Roman" w:eastAsia="Times New Roman" w:hAnsi="Times New Roman"/>
          <w:color w:val="000000" w:themeColor="text1"/>
          <w:sz w:val="24"/>
          <w:szCs w:val="24"/>
          <w:lang w:val="es-419" w:eastAsia="es-ES"/>
        </w:rPr>
        <w:t xml:space="preserve">el valor de </w:t>
      </w:r>
      <w:r w:rsidRPr="000741E8">
        <w:rPr>
          <w:rFonts w:ascii="Times New Roman" w:eastAsia="Times New Roman" w:hAnsi="Times New Roman"/>
          <w:color w:val="000000" w:themeColor="text1"/>
          <w:sz w:val="24"/>
          <w:szCs w:val="24"/>
          <w:lang w:val="es-ES" w:eastAsia="es-ES"/>
        </w:rPr>
        <w:t>$</w:t>
      </w:r>
      <w:r w:rsidRPr="000741E8">
        <w:rPr>
          <w:rFonts w:ascii="Times New Roman" w:hAnsi="Times New Roman"/>
          <w:bCs/>
          <w:color w:val="000000" w:themeColor="text1"/>
          <w:sz w:val="24"/>
          <w:szCs w:val="24"/>
        </w:rPr>
        <w:t>64</w:t>
      </w:r>
      <w:r w:rsidRPr="000741E8">
        <w:rPr>
          <w:rFonts w:ascii="Times New Roman" w:hAnsi="Times New Roman"/>
          <w:bCs/>
          <w:color w:val="000000" w:themeColor="text1"/>
          <w:sz w:val="24"/>
          <w:szCs w:val="24"/>
          <w:lang w:val="es-419"/>
        </w:rPr>
        <w:t>.</w:t>
      </w:r>
      <w:r w:rsidRPr="000741E8">
        <w:rPr>
          <w:rFonts w:ascii="Times New Roman" w:hAnsi="Times New Roman"/>
          <w:bCs/>
          <w:color w:val="000000" w:themeColor="text1"/>
          <w:sz w:val="24"/>
          <w:szCs w:val="24"/>
        </w:rPr>
        <w:t>933</w:t>
      </w:r>
      <w:r w:rsidRPr="000741E8">
        <w:rPr>
          <w:rFonts w:ascii="Times New Roman" w:hAnsi="Times New Roman"/>
          <w:bCs/>
          <w:color w:val="000000" w:themeColor="text1"/>
          <w:sz w:val="24"/>
          <w:szCs w:val="24"/>
          <w:lang w:val="es-419"/>
        </w:rPr>
        <w:t>.</w:t>
      </w:r>
      <w:r w:rsidRPr="000741E8">
        <w:rPr>
          <w:rFonts w:ascii="Times New Roman" w:hAnsi="Times New Roman"/>
          <w:bCs/>
          <w:color w:val="000000" w:themeColor="text1"/>
          <w:sz w:val="24"/>
          <w:szCs w:val="24"/>
        </w:rPr>
        <w:t>82</w:t>
      </w:r>
      <w:r w:rsidRPr="000741E8">
        <w:rPr>
          <w:rFonts w:ascii="Times New Roman" w:hAnsi="Times New Roman"/>
          <w:bCs/>
          <w:color w:val="000000" w:themeColor="text1"/>
          <w:sz w:val="24"/>
          <w:szCs w:val="24"/>
          <w:lang w:val="es-419"/>
        </w:rPr>
        <w:t xml:space="preserve">, </w:t>
      </w:r>
      <w:r w:rsidRPr="000741E8">
        <w:rPr>
          <w:rFonts w:ascii="Times New Roman" w:eastAsia="Times New Roman" w:hAnsi="Times New Roman"/>
          <w:color w:val="000000" w:themeColor="text1"/>
          <w:sz w:val="24"/>
          <w:szCs w:val="24"/>
          <w:lang w:val="es-ES" w:eastAsia="es-ES"/>
        </w:rPr>
        <w:t xml:space="preserve">por concepto de Comisión de administración </w:t>
      </w:r>
      <w:r w:rsidRPr="000741E8">
        <w:rPr>
          <w:rFonts w:ascii="Times New Roman" w:eastAsia="Times New Roman" w:hAnsi="Times New Roman"/>
          <w:color w:val="000000" w:themeColor="text1"/>
          <w:sz w:val="24"/>
          <w:szCs w:val="24"/>
          <w:lang w:val="es-419" w:eastAsia="es-ES"/>
        </w:rPr>
        <w:t>d</w:t>
      </w:r>
      <w:r w:rsidRPr="000741E8">
        <w:rPr>
          <w:rFonts w:ascii="Times New Roman" w:eastAsia="Times New Roman" w:hAnsi="Times New Roman"/>
          <w:color w:val="000000" w:themeColor="text1"/>
          <w:sz w:val="24"/>
          <w:szCs w:val="24"/>
          <w:lang w:val="es-ES" w:eastAsia="es-ES"/>
        </w:rPr>
        <w:t xml:space="preserve">el 2% sobre los recursos para atender pagos de cesantías en la vigencia 2019, </w:t>
      </w:r>
      <w:r w:rsidRPr="000741E8">
        <w:rPr>
          <w:rFonts w:ascii="Times New Roman" w:eastAsia="Times New Roman" w:hAnsi="Times New Roman"/>
          <w:color w:val="000000" w:themeColor="text1"/>
          <w:sz w:val="24"/>
          <w:szCs w:val="24"/>
          <w:lang w:val="es-419" w:eastAsia="es-ES"/>
        </w:rPr>
        <w:t>este valor incluye el pago comisión extraordinario por $</w:t>
      </w:r>
      <w:r w:rsidRPr="000741E8">
        <w:rPr>
          <w:rFonts w:ascii="Times New Roman" w:hAnsi="Times New Roman"/>
          <w:color w:val="000000" w:themeColor="text1"/>
          <w:sz w:val="24"/>
          <w:szCs w:val="24"/>
        </w:rPr>
        <w:t>11</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702</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70</w:t>
      </w:r>
      <w:r w:rsidRPr="000741E8">
        <w:rPr>
          <w:rFonts w:ascii="Times New Roman" w:hAnsi="Times New Roman"/>
          <w:color w:val="000000" w:themeColor="text1"/>
          <w:sz w:val="24"/>
          <w:szCs w:val="24"/>
          <w:lang w:val="es-419"/>
        </w:rPr>
        <w:t>0 y pago comisión nómina mes de diciembre</w:t>
      </w:r>
      <w:r w:rsidRPr="000741E8">
        <w:rPr>
          <w:rFonts w:ascii="Times New Roman" w:eastAsia="Times New Roman" w:hAnsi="Times New Roman"/>
          <w:color w:val="000000" w:themeColor="text1"/>
          <w:sz w:val="24"/>
          <w:szCs w:val="24"/>
          <w:lang w:val="es-419" w:eastAsia="es-ES"/>
        </w:rPr>
        <w:t xml:space="preserve"> de 2018 por $</w:t>
      </w:r>
      <w:r w:rsidRPr="000741E8">
        <w:rPr>
          <w:rFonts w:ascii="Times New Roman" w:hAnsi="Times New Roman"/>
          <w:color w:val="000000" w:themeColor="text1"/>
          <w:sz w:val="24"/>
          <w:szCs w:val="24"/>
        </w:rPr>
        <w:t>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971</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w:t>
      </w:r>
      <w:r w:rsidRPr="000741E8">
        <w:rPr>
          <w:rFonts w:ascii="Times New Roman" w:hAnsi="Times New Roman"/>
          <w:color w:val="000000" w:themeColor="text1"/>
          <w:sz w:val="24"/>
          <w:szCs w:val="24"/>
          <w:lang w:val="es-419"/>
        </w:rPr>
        <w:t>63.</w:t>
      </w: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 xml:space="preserve">Saldo de recursos administrados por </w:t>
      </w:r>
      <w:r w:rsidRPr="000741E8">
        <w:rPr>
          <w:rFonts w:ascii="Times New Roman" w:hAnsi="Times New Roman"/>
          <w:b/>
          <w:color w:val="000000" w:themeColor="text1"/>
          <w:sz w:val="24"/>
          <w:szCs w:val="24"/>
        </w:rPr>
        <w:t>FONCEP</w:t>
      </w:r>
      <w:r w:rsidRPr="000741E8">
        <w:rPr>
          <w:rFonts w:ascii="Times New Roman" w:hAnsi="Times New Roman"/>
          <w:b/>
          <w:color w:val="000000" w:themeColor="text1"/>
          <w:sz w:val="24"/>
          <w:szCs w:val="24"/>
          <w:lang w:val="es-419"/>
        </w:rPr>
        <w:t xml:space="preserve"> para manejo de cesantías</w:t>
      </w:r>
    </w:p>
    <w:p w:rsidR="0065290A" w:rsidRPr="000741E8" w:rsidRDefault="0065290A" w:rsidP="0065290A">
      <w:pPr>
        <w:jc w:val="both"/>
        <w:rPr>
          <w:rFonts w:ascii="Times New Roman" w:hAnsi="Times New Roman"/>
          <w:color w:val="FF0000"/>
          <w:sz w:val="24"/>
          <w:szCs w:val="24"/>
        </w:rPr>
      </w:pPr>
      <w:r w:rsidRPr="000741E8">
        <w:rPr>
          <w:rFonts w:ascii="Times New Roman" w:hAnsi="Times New Roman"/>
          <w:color w:val="000000" w:themeColor="text1"/>
          <w:sz w:val="24"/>
          <w:szCs w:val="24"/>
          <w:lang w:val="es-419"/>
        </w:rPr>
        <w:t xml:space="preserve">El saldo registrado como disponible para atender el pago de cesantías al cierre de la vigencia 2019 fue de </w:t>
      </w:r>
      <w:r w:rsidRPr="000741E8">
        <w:rPr>
          <w:rFonts w:ascii="Times New Roman" w:hAnsi="Times New Roman"/>
          <w:color w:val="000000" w:themeColor="text1"/>
          <w:sz w:val="24"/>
          <w:szCs w:val="24"/>
        </w:rPr>
        <w:t>$742</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553</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4</w:t>
      </w:r>
      <w:r w:rsidRPr="000741E8">
        <w:rPr>
          <w:rFonts w:ascii="Times New Roman" w:hAnsi="Times New Roman"/>
          <w:color w:val="000000" w:themeColor="text1"/>
          <w:sz w:val="24"/>
          <w:szCs w:val="24"/>
          <w:lang w:val="es-419"/>
        </w:rPr>
        <w:t>00.03</w:t>
      </w:r>
      <w:r w:rsidRPr="000741E8">
        <w:rPr>
          <w:rFonts w:ascii="Times New Roman" w:hAnsi="Times New Roman"/>
          <w:color w:val="000000" w:themeColor="text1"/>
          <w:sz w:val="24"/>
          <w:szCs w:val="24"/>
        </w:rPr>
        <w:t xml:space="preserve">, incluye la causación </w:t>
      </w:r>
      <w:r w:rsidRPr="000741E8">
        <w:rPr>
          <w:rFonts w:ascii="Times New Roman" w:hAnsi="Times New Roman"/>
          <w:color w:val="000000" w:themeColor="text1"/>
          <w:sz w:val="24"/>
          <w:szCs w:val="24"/>
          <w:lang w:val="es-419"/>
        </w:rPr>
        <w:t>por $</w:t>
      </w:r>
      <w:r w:rsidRPr="000741E8">
        <w:rPr>
          <w:rFonts w:ascii="Times New Roman" w:hAnsi="Times New Roman"/>
          <w:sz w:val="24"/>
          <w:szCs w:val="24"/>
        </w:rPr>
        <w:t>296</w:t>
      </w:r>
      <w:r w:rsidRPr="000741E8">
        <w:rPr>
          <w:rFonts w:ascii="Times New Roman" w:hAnsi="Times New Roman"/>
          <w:sz w:val="24"/>
          <w:szCs w:val="24"/>
          <w:lang w:val="es-419"/>
        </w:rPr>
        <w:t>.</w:t>
      </w:r>
      <w:r w:rsidRPr="000741E8">
        <w:rPr>
          <w:rFonts w:ascii="Times New Roman" w:hAnsi="Times New Roman"/>
          <w:sz w:val="24"/>
          <w:szCs w:val="24"/>
        </w:rPr>
        <w:t>970</w:t>
      </w:r>
      <w:r w:rsidRPr="000741E8">
        <w:rPr>
          <w:rFonts w:ascii="Times New Roman" w:hAnsi="Times New Roman"/>
          <w:sz w:val="24"/>
          <w:szCs w:val="24"/>
          <w:lang w:val="es-419"/>
        </w:rPr>
        <w:t>.</w:t>
      </w:r>
      <w:r w:rsidRPr="000741E8">
        <w:rPr>
          <w:rFonts w:ascii="Times New Roman" w:hAnsi="Times New Roman"/>
          <w:sz w:val="24"/>
          <w:szCs w:val="24"/>
        </w:rPr>
        <w:t>6</w:t>
      </w:r>
      <w:r w:rsidRPr="000741E8">
        <w:rPr>
          <w:rFonts w:ascii="Times New Roman" w:hAnsi="Times New Roman"/>
          <w:sz w:val="24"/>
          <w:szCs w:val="24"/>
          <w:lang w:val="es-419"/>
        </w:rPr>
        <w:t>00</w:t>
      </w:r>
      <w:r w:rsidRPr="000741E8">
        <w:rPr>
          <w:rFonts w:ascii="Times New Roman" w:hAnsi="Times New Roman"/>
          <w:color w:val="000000" w:themeColor="text1"/>
          <w:sz w:val="24"/>
          <w:szCs w:val="24"/>
          <w:lang w:val="es-419"/>
        </w:rPr>
        <w:t xml:space="preserve"> de la nómina de diciembre de 2019 y pago cuota extraordinaria por $</w:t>
      </w:r>
      <w:r w:rsidRPr="000741E8">
        <w:rPr>
          <w:rFonts w:ascii="Times New Roman" w:hAnsi="Times New Roman"/>
          <w:sz w:val="24"/>
          <w:szCs w:val="24"/>
        </w:rPr>
        <w:t>402</w:t>
      </w:r>
      <w:r w:rsidRPr="000741E8">
        <w:rPr>
          <w:rFonts w:ascii="Times New Roman" w:hAnsi="Times New Roman"/>
          <w:sz w:val="24"/>
          <w:szCs w:val="24"/>
          <w:lang w:val="es-419"/>
        </w:rPr>
        <w:t>.</w:t>
      </w:r>
      <w:r w:rsidRPr="000741E8">
        <w:rPr>
          <w:rFonts w:ascii="Times New Roman" w:hAnsi="Times New Roman"/>
          <w:sz w:val="24"/>
          <w:szCs w:val="24"/>
        </w:rPr>
        <w:t>400</w:t>
      </w:r>
      <w:r w:rsidRPr="000741E8">
        <w:rPr>
          <w:rFonts w:ascii="Times New Roman" w:hAnsi="Times New Roman"/>
          <w:sz w:val="24"/>
          <w:szCs w:val="24"/>
          <w:lang w:val="es-419"/>
        </w:rPr>
        <w:t>.</w:t>
      </w:r>
      <w:r w:rsidRPr="000741E8">
        <w:rPr>
          <w:rFonts w:ascii="Times New Roman" w:hAnsi="Times New Roman"/>
          <w:sz w:val="24"/>
          <w:szCs w:val="24"/>
        </w:rPr>
        <w:t>0</w:t>
      </w:r>
      <w:r w:rsidRPr="000741E8">
        <w:rPr>
          <w:rFonts w:ascii="Times New Roman" w:hAnsi="Times New Roman"/>
          <w:sz w:val="24"/>
          <w:szCs w:val="24"/>
          <w:lang w:val="es-419"/>
        </w:rPr>
        <w:t>00,</w:t>
      </w:r>
      <w:r w:rsidRPr="000741E8">
        <w:rPr>
          <w:rFonts w:ascii="Times New Roman" w:hAnsi="Times New Roman"/>
          <w:color w:val="000000" w:themeColor="text1"/>
          <w:sz w:val="24"/>
          <w:szCs w:val="24"/>
          <w:lang w:val="es-419"/>
        </w:rPr>
        <w:t xml:space="preserve"> los cuáles serán girados en el mes de </w:t>
      </w:r>
      <w:r w:rsidRPr="000741E8">
        <w:rPr>
          <w:rFonts w:ascii="Times New Roman" w:hAnsi="Times New Roman"/>
          <w:color w:val="000000" w:themeColor="text1"/>
          <w:sz w:val="24"/>
          <w:szCs w:val="24"/>
        </w:rPr>
        <w:t>enero de 20</w:t>
      </w:r>
      <w:r w:rsidRPr="000741E8">
        <w:rPr>
          <w:rFonts w:ascii="Times New Roman" w:hAnsi="Times New Roman"/>
          <w:color w:val="000000" w:themeColor="text1"/>
          <w:sz w:val="24"/>
          <w:szCs w:val="24"/>
          <w:lang w:val="es-419"/>
        </w:rPr>
        <w:t>20</w:t>
      </w:r>
      <w:r w:rsidRPr="000741E8">
        <w:rPr>
          <w:rFonts w:ascii="Times New Roman" w:hAnsi="Times New Roman"/>
          <w:color w:val="000000" w:themeColor="text1"/>
          <w:sz w:val="24"/>
          <w:szCs w:val="24"/>
        </w:rPr>
        <w:t xml:space="preserve"> al haber sido constituidos como cuentas por pagar de la vigencia 201</w:t>
      </w:r>
      <w:r w:rsidRPr="000741E8">
        <w:rPr>
          <w:rFonts w:ascii="Times New Roman" w:hAnsi="Times New Roman"/>
          <w:color w:val="000000" w:themeColor="text1"/>
          <w:sz w:val="24"/>
          <w:szCs w:val="24"/>
          <w:lang w:val="es-419"/>
        </w:rPr>
        <w:t>9</w:t>
      </w:r>
      <w:r w:rsidRPr="000741E8">
        <w:rPr>
          <w:rFonts w:ascii="Times New Roman" w:hAnsi="Times New Roman"/>
          <w:color w:val="000000" w:themeColor="text1"/>
          <w:sz w:val="24"/>
          <w:szCs w:val="24"/>
        </w:rPr>
        <w:t xml:space="preserve">. El </w:t>
      </w:r>
      <w:r w:rsidRPr="000741E8">
        <w:rPr>
          <w:rFonts w:ascii="Times New Roman" w:hAnsi="Times New Roman"/>
          <w:color w:val="000000" w:themeColor="text1"/>
          <w:sz w:val="24"/>
          <w:szCs w:val="24"/>
          <w:lang w:val="es-419"/>
        </w:rPr>
        <w:t xml:space="preserve">saldo </w:t>
      </w:r>
      <w:r w:rsidRPr="000741E8">
        <w:rPr>
          <w:rFonts w:ascii="Times New Roman" w:hAnsi="Times New Roman"/>
          <w:color w:val="000000" w:themeColor="text1"/>
          <w:sz w:val="24"/>
          <w:szCs w:val="24"/>
        </w:rPr>
        <w:t xml:space="preserve">del Extracto </w:t>
      </w:r>
      <w:r w:rsidRPr="000741E8">
        <w:rPr>
          <w:rFonts w:ascii="Times New Roman" w:hAnsi="Times New Roman"/>
          <w:color w:val="000000" w:themeColor="text1"/>
          <w:sz w:val="24"/>
          <w:szCs w:val="24"/>
          <w:lang w:val="es-419"/>
        </w:rPr>
        <w:t xml:space="preserve">Financiero </w:t>
      </w:r>
      <w:r w:rsidRPr="000741E8">
        <w:rPr>
          <w:rFonts w:ascii="Times New Roman" w:hAnsi="Times New Roman"/>
          <w:color w:val="000000" w:themeColor="text1"/>
          <w:sz w:val="24"/>
          <w:szCs w:val="24"/>
        </w:rPr>
        <w:t>de FONCEP a 31 de diciembre de 201</w:t>
      </w:r>
      <w:r w:rsidRPr="000741E8">
        <w:rPr>
          <w:rFonts w:ascii="Times New Roman" w:hAnsi="Times New Roman"/>
          <w:color w:val="000000" w:themeColor="text1"/>
          <w:sz w:val="24"/>
          <w:szCs w:val="24"/>
          <w:lang w:val="es-419"/>
        </w:rPr>
        <w:t>9</w:t>
      </w:r>
      <w:r w:rsidRPr="000741E8">
        <w:rPr>
          <w:rFonts w:ascii="Times New Roman" w:hAnsi="Times New Roman"/>
          <w:color w:val="000000" w:themeColor="text1"/>
          <w:sz w:val="24"/>
          <w:szCs w:val="24"/>
        </w:rPr>
        <w:t xml:space="preserve"> </w:t>
      </w:r>
      <w:r w:rsidRPr="000741E8">
        <w:rPr>
          <w:rFonts w:ascii="Times New Roman" w:hAnsi="Times New Roman"/>
          <w:color w:val="000000" w:themeColor="text1"/>
          <w:sz w:val="24"/>
          <w:szCs w:val="24"/>
          <w:lang w:val="es-419"/>
        </w:rPr>
        <w:t xml:space="preserve">por cesantías pagadas presenta un valor de </w:t>
      </w:r>
      <w:r w:rsidRPr="000741E8">
        <w:rPr>
          <w:rFonts w:ascii="Times New Roman" w:hAnsi="Times New Roman"/>
          <w:color w:val="000000" w:themeColor="text1"/>
          <w:sz w:val="24"/>
          <w:szCs w:val="24"/>
        </w:rPr>
        <w:t>$4.424.535</w:t>
      </w:r>
      <w:r w:rsidRPr="000741E8">
        <w:rPr>
          <w:rFonts w:ascii="Times New Roman" w:hAnsi="Times New Roman"/>
          <w:color w:val="000000" w:themeColor="text1"/>
          <w:sz w:val="24"/>
          <w:szCs w:val="24"/>
          <w:lang w:val="es-419"/>
        </w:rPr>
        <w:t>.168.</w:t>
      </w: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Valor pagado por cesantías durante la vigencia 2019</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lastRenderedPageBreak/>
        <w:t xml:space="preserve">Durante la vigencia 2019 se efectuaron pagos a los afiliados por un valor de $5.835.872.853 correspondientes a las diferentes solicitudes que presentaron los afiliados a </w:t>
      </w:r>
      <w:r w:rsidRPr="000741E8">
        <w:rPr>
          <w:rFonts w:ascii="Times New Roman" w:hAnsi="Times New Roman"/>
          <w:color w:val="000000" w:themeColor="text1"/>
          <w:sz w:val="24"/>
          <w:szCs w:val="24"/>
        </w:rPr>
        <w:t>FONCEP</w:t>
      </w:r>
      <w:r w:rsidRPr="000741E8">
        <w:rPr>
          <w:rFonts w:ascii="Times New Roman" w:hAnsi="Times New Roman"/>
          <w:color w:val="000000" w:themeColor="text1"/>
          <w:sz w:val="24"/>
          <w:szCs w:val="24"/>
          <w:lang w:val="es-419"/>
        </w:rPr>
        <w:t>.</w:t>
      </w:r>
    </w:p>
    <w:p w:rsidR="0065290A" w:rsidRPr="000741E8" w:rsidRDefault="0065290A" w:rsidP="0065290A">
      <w:pPr>
        <w:rPr>
          <w:rFonts w:ascii="Times New Roman" w:hAnsi="Times New Roman"/>
          <w:b/>
          <w:color w:val="000000" w:themeColor="text1"/>
          <w:sz w:val="24"/>
          <w:szCs w:val="24"/>
          <w:lang w:val="es-419"/>
        </w:rPr>
      </w:pPr>
      <w:r w:rsidRPr="000741E8">
        <w:rPr>
          <w:rFonts w:ascii="Times New Roman" w:hAnsi="Times New Roman"/>
          <w:b/>
          <w:color w:val="000000" w:themeColor="text1"/>
          <w:sz w:val="24"/>
          <w:szCs w:val="24"/>
          <w:lang w:val="es-419"/>
        </w:rPr>
        <w:t xml:space="preserve">Saldo de cesantías con régimen con retroactividad al cierre de la vigencia 2019    </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La subcuenta</w:t>
      </w:r>
      <w:r w:rsidRPr="000741E8">
        <w:rPr>
          <w:rFonts w:ascii="Times New Roman" w:hAnsi="Times New Roman"/>
          <w:b/>
          <w:color w:val="000000" w:themeColor="text1"/>
          <w:sz w:val="24"/>
          <w:szCs w:val="24"/>
          <w:lang w:val="es-419"/>
        </w:rPr>
        <w:t xml:space="preserve"> </w:t>
      </w:r>
      <w:r w:rsidRPr="000741E8">
        <w:rPr>
          <w:rFonts w:ascii="Times New Roman" w:hAnsi="Times New Roman"/>
          <w:color w:val="000000" w:themeColor="text1"/>
          <w:sz w:val="24"/>
          <w:szCs w:val="24"/>
          <w:lang w:val="es-419"/>
        </w:rPr>
        <w:t>2-5-12-04 Cesantías Retroactivas presenta  a 31 de diciembre de 2019 un valor de $</w:t>
      </w:r>
      <w:r w:rsidRPr="000741E8">
        <w:rPr>
          <w:rFonts w:ascii="Times New Roman" w:hAnsi="Times New Roman"/>
          <w:color w:val="000000" w:themeColor="text1"/>
          <w:sz w:val="24"/>
          <w:szCs w:val="24"/>
        </w:rPr>
        <w:t xml:space="preserve"> 15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765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745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6</w:t>
      </w:r>
      <w:r w:rsidRPr="000741E8">
        <w:rPr>
          <w:rFonts w:ascii="Times New Roman" w:hAnsi="Times New Roman"/>
          <w:color w:val="000000" w:themeColor="text1"/>
          <w:sz w:val="24"/>
          <w:szCs w:val="24"/>
          <w:lang w:val="es-419"/>
        </w:rPr>
        <w:t>03,</w:t>
      </w:r>
      <w:r w:rsidRPr="000741E8">
        <w:rPr>
          <w:rFonts w:ascii="Times New Roman" w:hAnsi="Times New Roman"/>
          <w:color w:val="000000" w:themeColor="text1"/>
          <w:sz w:val="24"/>
          <w:szCs w:val="24"/>
        </w:rPr>
        <w:t xml:space="preserve"> incluye la cuenta por pagar </w:t>
      </w:r>
      <w:r w:rsidRPr="000741E8">
        <w:rPr>
          <w:rFonts w:ascii="Times New Roman" w:hAnsi="Times New Roman"/>
          <w:color w:val="000000" w:themeColor="text1"/>
          <w:sz w:val="24"/>
          <w:szCs w:val="24"/>
          <w:lang w:val="es-419"/>
        </w:rPr>
        <w:t xml:space="preserve">correspondiente a los funcionarios de la Contraloría de Bogotá D.C. afiliados en FONCEP en el régimen de retroactividad </w:t>
      </w:r>
      <w:r w:rsidRPr="000741E8">
        <w:rPr>
          <w:rFonts w:ascii="Times New Roman" w:hAnsi="Times New Roman"/>
          <w:color w:val="000000" w:themeColor="text1"/>
          <w:sz w:val="24"/>
          <w:szCs w:val="24"/>
        </w:rPr>
        <w:t xml:space="preserve"> por valor </w:t>
      </w:r>
      <w:r w:rsidRPr="000741E8">
        <w:rPr>
          <w:rFonts w:ascii="Times New Roman" w:hAnsi="Times New Roman"/>
          <w:color w:val="000000" w:themeColor="text1"/>
          <w:sz w:val="24"/>
          <w:szCs w:val="24"/>
          <w:lang w:val="es-419"/>
        </w:rPr>
        <w:t xml:space="preserve">de $ </w:t>
      </w:r>
      <w:r w:rsidRPr="000741E8">
        <w:rPr>
          <w:rFonts w:ascii="Times New Roman" w:hAnsi="Times New Roman"/>
          <w:color w:val="000000" w:themeColor="text1"/>
          <w:sz w:val="24"/>
          <w:szCs w:val="24"/>
        </w:rPr>
        <w:t>15</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147</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631</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3</w:t>
      </w:r>
      <w:r w:rsidRPr="000741E8">
        <w:rPr>
          <w:rFonts w:ascii="Times New Roman" w:hAnsi="Times New Roman"/>
          <w:color w:val="000000" w:themeColor="text1"/>
          <w:sz w:val="24"/>
          <w:szCs w:val="24"/>
          <w:lang w:val="es-419"/>
        </w:rPr>
        <w:t>58 en la que se encuentra la cuenta por pagar a FONCEP por valor de $</w:t>
      </w:r>
      <w:r w:rsidRPr="000741E8">
        <w:rPr>
          <w:rFonts w:ascii="Times New Roman" w:hAnsi="Times New Roman"/>
          <w:color w:val="000000" w:themeColor="text1"/>
          <w:sz w:val="24"/>
          <w:szCs w:val="24"/>
        </w:rPr>
        <w:t>296</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970</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6</w:t>
      </w:r>
      <w:r w:rsidRPr="000741E8">
        <w:rPr>
          <w:rFonts w:ascii="Times New Roman" w:hAnsi="Times New Roman"/>
          <w:color w:val="000000" w:themeColor="text1"/>
          <w:sz w:val="24"/>
          <w:szCs w:val="24"/>
          <w:lang w:val="es-419"/>
        </w:rPr>
        <w:t>00  de la nómina de diciembre de 2019 y pago cuota extraordinaria $</w:t>
      </w:r>
      <w:r w:rsidRPr="000741E8">
        <w:rPr>
          <w:rFonts w:ascii="Times New Roman" w:hAnsi="Times New Roman"/>
          <w:color w:val="000000" w:themeColor="text1"/>
          <w:sz w:val="24"/>
          <w:szCs w:val="24"/>
        </w:rPr>
        <w:t>402</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400</w:t>
      </w:r>
      <w:r w:rsidRPr="000741E8">
        <w:rPr>
          <w:rFonts w:ascii="Times New Roman" w:hAnsi="Times New Roman"/>
          <w:color w:val="000000" w:themeColor="text1"/>
          <w:sz w:val="24"/>
          <w:szCs w:val="24"/>
          <w:lang w:val="es-419"/>
        </w:rPr>
        <w:t>.00</w:t>
      </w:r>
      <w:r w:rsidRPr="000741E8">
        <w:rPr>
          <w:rFonts w:ascii="Times New Roman" w:hAnsi="Times New Roman"/>
          <w:color w:val="000000" w:themeColor="text1"/>
          <w:sz w:val="24"/>
          <w:szCs w:val="24"/>
        </w:rPr>
        <w:t>0</w:t>
      </w:r>
      <w:r w:rsidRPr="000741E8">
        <w:rPr>
          <w:rFonts w:ascii="Times New Roman" w:hAnsi="Times New Roman"/>
          <w:color w:val="000000" w:themeColor="text1"/>
          <w:sz w:val="24"/>
          <w:szCs w:val="24"/>
          <w:lang w:val="es-419"/>
        </w:rPr>
        <w:t>, que serán girados en el mes de enero de 2020 al haber sido constituidos como cuentas por pagar de la vigencia 2019.</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color w:val="000000" w:themeColor="text1"/>
          <w:sz w:val="24"/>
          <w:szCs w:val="24"/>
          <w:lang w:val="es-419"/>
        </w:rPr>
        <w:t>Así mismo, se presentan cuentas por pagar de cesantías retroactivas con tercero Fondo Nacional del Ahorro de 10 funcionarios que cuentan con régimen de retroactividad para el pago de las Cesantías y que actualmente están afiliados al Fondo Nacional del Ahorro por valor de $</w:t>
      </w:r>
      <w:r w:rsidRPr="000741E8">
        <w:rPr>
          <w:rFonts w:ascii="Times New Roman" w:hAnsi="Times New Roman"/>
          <w:color w:val="000000" w:themeColor="text1"/>
          <w:sz w:val="24"/>
          <w:szCs w:val="24"/>
        </w:rPr>
        <w:t>618</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114</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2</w:t>
      </w:r>
      <w:r w:rsidRPr="000741E8">
        <w:rPr>
          <w:rFonts w:ascii="Times New Roman" w:hAnsi="Times New Roman"/>
          <w:color w:val="000000" w:themeColor="text1"/>
          <w:sz w:val="24"/>
          <w:szCs w:val="24"/>
          <w:lang w:val="es-419"/>
        </w:rPr>
        <w:t xml:space="preserve">  este valor no incluye el valor de pago como anualizado el cuál se registra como una cuenta por pagar de cesantías anualizadas.</w:t>
      </w:r>
    </w:p>
    <w:p w:rsidR="0065290A" w:rsidRPr="000741E8" w:rsidRDefault="0065290A" w:rsidP="0065290A">
      <w:pPr>
        <w:pStyle w:val="Ttulo4"/>
        <w:rPr>
          <w:rFonts w:ascii="Times New Roman" w:hAnsi="Times New Roman" w:cs="Times New Roman"/>
          <w:i w:val="0"/>
          <w:color w:val="auto"/>
          <w:sz w:val="24"/>
          <w:szCs w:val="24"/>
          <w:lang w:val="es-419"/>
        </w:rPr>
      </w:pPr>
      <w:r w:rsidRPr="000741E8">
        <w:rPr>
          <w:rFonts w:ascii="Times New Roman" w:hAnsi="Times New Roman" w:cs="Times New Roman"/>
          <w:i w:val="0"/>
          <w:color w:val="auto"/>
          <w:sz w:val="24"/>
          <w:szCs w:val="24"/>
          <w:lang w:val="es-419"/>
        </w:rPr>
        <w:t>22.2.2. Revelaciones reconocimiento por permanencia</w:t>
      </w: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NormalWeb"/>
        <w:shd w:val="clear" w:color="auto" w:fill="FFFFFF"/>
        <w:spacing w:before="0" w:beforeAutospacing="0" w:after="150" w:afterAutospacing="0"/>
        <w:jc w:val="both"/>
        <w:rPr>
          <w:rFonts w:eastAsiaTheme="minorHAnsi"/>
          <w:color w:val="000000" w:themeColor="text1"/>
          <w:lang w:val="es-CO" w:eastAsia="en-US"/>
        </w:rPr>
      </w:pPr>
      <w:r w:rsidRPr="000741E8">
        <w:rPr>
          <w:color w:val="000000" w:themeColor="text1"/>
        </w:rPr>
        <w:t>El Acuerdo 276 de 2007, Acuerdo</w:t>
      </w:r>
      <w:r w:rsidRPr="000741E8">
        <w:rPr>
          <w:bCs/>
          <w:color w:val="000000" w:themeColor="text1"/>
        </w:rPr>
        <w:t xml:space="preserve"> 336 DE 2008 y Acuerdo 528 de 2013 establece que e</w:t>
      </w:r>
      <w:r w:rsidRPr="000741E8">
        <w:rPr>
          <w:color w:val="000000" w:themeColor="text1"/>
          <w:shd w:val="clear" w:color="auto" w:fill="FFFFFF"/>
        </w:rPr>
        <w:t xml:space="preserve">l Reconocimiento por Permanencia corresponde al 18% del total anual recibido en el quinto año por asignación básica mensual. Dicho monto se cancelará en cinco (5) fracciones anuales durante los cinco (5) años siguientes al reconocimiento y otorgamiento del mismo y se ajusta anualmente con el incremento salarial </w:t>
      </w:r>
      <w:r w:rsidRPr="000741E8">
        <w:rPr>
          <w:rFonts w:eastAsiaTheme="minorHAnsi"/>
          <w:color w:val="000000" w:themeColor="text1"/>
          <w:lang w:val="es-CO" w:eastAsia="en-US"/>
        </w:rPr>
        <w:t>respectivo</w:t>
      </w:r>
      <w:r w:rsidRPr="000741E8">
        <w:rPr>
          <w:rFonts w:eastAsiaTheme="minorHAnsi"/>
          <w:color w:val="000000" w:themeColor="text1"/>
          <w:lang w:val="es-419" w:eastAsia="en-US"/>
        </w:rPr>
        <w:t>, para la vigencia de 2019 fue del 4.5%.</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color w:val="000000" w:themeColor="text1"/>
          <w:sz w:val="24"/>
          <w:szCs w:val="24"/>
        </w:rPr>
        <w:t xml:space="preserve">El Acuerdo 276 de 2007; establece que el empleado público que haya adquirido el </w:t>
      </w:r>
      <w:r w:rsidRPr="000741E8">
        <w:rPr>
          <w:rFonts w:ascii="Times New Roman" w:hAnsi="Times New Roman"/>
          <w:i/>
          <w:color w:val="000000" w:themeColor="text1"/>
          <w:sz w:val="24"/>
          <w:szCs w:val="24"/>
        </w:rPr>
        <w:t>derecho al Reconocimiento por Permanencia y que a la fecha de su retiro no le</w:t>
      </w:r>
      <w:r w:rsidRPr="000741E8">
        <w:rPr>
          <w:rFonts w:ascii="Times New Roman" w:hAnsi="Times New Roman"/>
          <w:color w:val="000000" w:themeColor="text1"/>
          <w:sz w:val="24"/>
          <w:szCs w:val="24"/>
        </w:rPr>
        <w:t xml:space="preserve"> hayan sido canceladas en su totalidad las cinco (5) fracciones del valor de la bonificación otorgada, el saldo pendiente por cancelar será reconocido en la correspondiente liquidación final de salarios y prestaciones sociales, siempre y cuando el motivo del retiro no sea la destitución.</w:t>
      </w:r>
    </w:p>
    <w:p w:rsidR="0065290A" w:rsidRPr="000741E8" w:rsidRDefault="0065290A" w:rsidP="0065290A">
      <w:pPr>
        <w:jc w:val="both"/>
        <w:rPr>
          <w:rFonts w:ascii="Times New Roman" w:hAnsi="Times New Roman"/>
          <w:color w:val="000000" w:themeColor="text1"/>
          <w:sz w:val="24"/>
          <w:szCs w:val="24"/>
          <w:lang w:val="es-419"/>
        </w:rPr>
      </w:pPr>
      <w:r w:rsidRPr="000741E8">
        <w:rPr>
          <w:rFonts w:ascii="Times New Roman" w:hAnsi="Times New Roman"/>
          <w:color w:val="000000" w:themeColor="text1"/>
          <w:sz w:val="24"/>
          <w:szCs w:val="24"/>
          <w:lang w:val="es-419"/>
        </w:rPr>
        <w:t>El valor a pagar a corto plazo es de $</w:t>
      </w:r>
      <w:r w:rsidRPr="000741E8">
        <w:rPr>
          <w:rFonts w:ascii="Times New Roman" w:hAnsi="Times New Roman"/>
          <w:color w:val="000000" w:themeColor="text1"/>
          <w:sz w:val="24"/>
          <w:szCs w:val="24"/>
        </w:rPr>
        <w:t>946</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154</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9</w:t>
      </w:r>
      <w:r w:rsidRPr="000741E8">
        <w:rPr>
          <w:rFonts w:ascii="Times New Roman" w:hAnsi="Times New Roman"/>
          <w:color w:val="000000" w:themeColor="text1"/>
          <w:sz w:val="24"/>
          <w:szCs w:val="24"/>
          <w:lang w:val="es-419"/>
        </w:rPr>
        <w:t xml:space="preserve">05. </w:t>
      </w:r>
      <w:proofErr w:type="gramStart"/>
      <w:r w:rsidRPr="000741E8">
        <w:rPr>
          <w:rFonts w:ascii="Times New Roman" w:hAnsi="Times New Roman"/>
          <w:color w:val="000000" w:themeColor="text1"/>
          <w:sz w:val="24"/>
          <w:szCs w:val="24"/>
          <w:lang w:val="es-419"/>
        </w:rPr>
        <w:t>y</w:t>
      </w:r>
      <w:proofErr w:type="gramEnd"/>
      <w:r w:rsidRPr="000741E8">
        <w:rPr>
          <w:rFonts w:ascii="Times New Roman" w:hAnsi="Times New Roman"/>
          <w:color w:val="000000" w:themeColor="text1"/>
          <w:sz w:val="24"/>
          <w:szCs w:val="24"/>
          <w:lang w:val="es-419"/>
        </w:rPr>
        <w:t xml:space="preserve"> el valor pendiente de pago en las demás vigencias a largo plazo está por $</w:t>
      </w:r>
      <w:r w:rsidRPr="000741E8">
        <w:rPr>
          <w:rFonts w:ascii="Times New Roman" w:hAnsi="Times New Roman"/>
          <w:color w:val="000000" w:themeColor="text1"/>
          <w:sz w:val="24"/>
          <w:szCs w:val="24"/>
        </w:rPr>
        <w:t>1</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318</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 xml:space="preserve">170 </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7</w:t>
      </w:r>
      <w:r w:rsidRPr="000741E8">
        <w:rPr>
          <w:rFonts w:ascii="Times New Roman" w:hAnsi="Times New Roman"/>
          <w:color w:val="000000" w:themeColor="text1"/>
          <w:sz w:val="24"/>
          <w:szCs w:val="24"/>
          <w:lang w:val="es-419"/>
        </w:rPr>
        <w:t xml:space="preserve">25.   </w:t>
      </w:r>
    </w:p>
    <w:p w:rsidR="0065290A" w:rsidRPr="000741E8" w:rsidRDefault="0065290A" w:rsidP="0065290A">
      <w:pPr>
        <w:jc w:val="both"/>
        <w:rPr>
          <w:rFonts w:ascii="Times New Roman" w:hAnsi="Times New Roman"/>
          <w:color w:val="000000" w:themeColor="text1"/>
          <w:sz w:val="24"/>
          <w:szCs w:val="24"/>
        </w:rPr>
      </w:pPr>
      <w:r w:rsidRPr="000741E8">
        <w:rPr>
          <w:rFonts w:ascii="Times New Roman" w:hAnsi="Times New Roman"/>
          <w:b/>
          <w:color w:val="000000" w:themeColor="text1"/>
          <w:sz w:val="24"/>
          <w:szCs w:val="24"/>
        </w:rPr>
        <w:t>Nota:</w:t>
      </w:r>
      <w:r w:rsidRPr="000741E8">
        <w:rPr>
          <w:rFonts w:ascii="Times New Roman" w:hAnsi="Times New Roman"/>
          <w:color w:val="000000" w:themeColor="text1"/>
          <w:sz w:val="24"/>
          <w:szCs w:val="24"/>
        </w:rPr>
        <w:t xml:space="preserve"> Para el Reconocimiento por permanencia, se realizaron las estimaciones de las cuotas que se van causando cada año de acuerdo a la Guía para la medición del reconocimiento por permanencia en Entidades de Gobierno del Distrito Capital, </w:t>
      </w:r>
      <w:r w:rsidRPr="000741E8">
        <w:rPr>
          <w:rFonts w:ascii="Times New Roman" w:hAnsi="Times New Roman"/>
          <w:color w:val="000000" w:themeColor="text1"/>
          <w:sz w:val="24"/>
          <w:szCs w:val="24"/>
          <w:lang w:val="es-419"/>
        </w:rPr>
        <w:t xml:space="preserve">a diciembre 31 de 2019 presenta un saldo por $ </w:t>
      </w:r>
      <w:r w:rsidRPr="000741E8">
        <w:rPr>
          <w:rFonts w:ascii="Times New Roman" w:hAnsi="Times New Roman"/>
          <w:color w:val="000000" w:themeColor="text1"/>
          <w:sz w:val="24"/>
          <w:szCs w:val="24"/>
        </w:rPr>
        <w:t>3</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988</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130</w:t>
      </w:r>
      <w:r w:rsidRPr="000741E8">
        <w:rPr>
          <w:rFonts w:ascii="Times New Roman" w:hAnsi="Times New Roman"/>
          <w:color w:val="000000" w:themeColor="text1"/>
          <w:sz w:val="24"/>
          <w:szCs w:val="24"/>
          <w:lang w:val="es-419"/>
        </w:rPr>
        <w:t>.</w:t>
      </w:r>
      <w:r w:rsidRPr="000741E8">
        <w:rPr>
          <w:rFonts w:ascii="Times New Roman" w:hAnsi="Times New Roman"/>
          <w:color w:val="000000" w:themeColor="text1"/>
          <w:sz w:val="24"/>
          <w:szCs w:val="24"/>
        </w:rPr>
        <w:t>2</w:t>
      </w:r>
      <w:r w:rsidRPr="000741E8">
        <w:rPr>
          <w:rFonts w:ascii="Times New Roman" w:hAnsi="Times New Roman"/>
          <w:color w:val="000000" w:themeColor="text1"/>
          <w:sz w:val="24"/>
          <w:szCs w:val="24"/>
          <w:lang w:val="es-419"/>
        </w:rPr>
        <w:t>25,98.</w:t>
      </w:r>
    </w:p>
    <w:p w:rsidR="0065290A" w:rsidRDefault="0065290A" w:rsidP="0065290A">
      <w:pPr>
        <w:pStyle w:val="Prrafodelista"/>
        <w:spacing w:after="0" w:line="240" w:lineRule="auto"/>
        <w:ind w:left="0"/>
        <w:jc w:val="both"/>
        <w:rPr>
          <w:rFonts w:ascii="Times New Roman" w:hAnsi="Times New Roman"/>
          <w:sz w:val="24"/>
          <w:szCs w:val="24"/>
          <w:lang w:val="es-419"/>
        </w:rPr>
      </w:pPr>
    </w:p>
    <w:p w:rsidR="0065290A" w:rsidRDefault="0065290A" w:rsidP="0065290A">
      <w:pPr>
        <w:pStyle w:val="Prrafodelista"/>
        <w:spacing w:after="0" w:line="240" w:lineRule="auto"/>
        <w:ind w:left="0"/>
        <w:jc w:val="both"/>
        <w:rPr>
          <w:rFonts w:ascii="Times New Roman" w:hAnsi="Times New Roman"/>
          <w:sz w:val="24"/>
          <w:szCs w:val="24"/>
          <w:lang w:val="es-419"/>
        </w:rPr>
      </w:pPr>
    </w:p>
    <w:p w:rsidR="0065290A"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Prrafodelista"/>
        <w:spacing w:after="0" w:line="240" w:lineRule="auto"/>
        <w:ind w:left="0"/>
        <w:jc w:val="both"/>
        <w:rPr>
          <w:rFonts w:ascii="Times New Roman" w:hAnsi="Times New Roman"/>
          <w:sz w:val="24"/>
          <w:szCs w:val="24"/>
          <w:lang w:val="es-419"/>
        </w:rPr>
      </w:pPr>
    </w:p>
    <w:p w:rsidR="0065290A" w:rsidRPr="000741E8" w:rsidRDefault="0065290A" w:rsidP="0065290A">
      <w:pPr>
        <w:pStyle w:val="Ttulo1"/>
        <w:rPr>
          <w:rFonts w:cs="Times New Roman"/>
          <w:sz w:val="24"/>
          <w:szCs w:val="24"/>
        </w:rPr>
      </w:pPr>
      <w:bookmarkStart w:id="63" w:name="_Toc30823522"/>
      <w:r w:rsidRPr="000741E8">
        <w:rPr>
          <w:rFonts w:cs="Times New Roman"/>
          <w:sz w:val="24"/>
          <w:szCs w:val="24"/>
        </w:rPr>
        <w:lastRenderedPageBreak/>
        <w:t>NOTA 23. PROVISIONES</w:t>
      </w:r>
      <w:bookmarkEnd w:id="63"/>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64" w:name="_Toc30823523"/>
      <w:r w:rsidRPr="000741E8">
        <w:rPr>
          <w:rFonts w:cs="Times New Roman"/>
          <w:szCs w:val="24"/>
        </w:rPr>
        <w:t>Composición</w:t>
      </w:r>
      <w:bookmarkEnd w:id="64"/>
    </w:p>
    <w:p w:rsidR="0065290A" w:rsidRPr="000741E8"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41E123EA" wp14:editId="752BB09B">
            <wp:extent cx="5612130" cy="889126"/>
            <wp:effectExtent l="0" t="0" r="7620" b="63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9126"/>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esta cuenta se registra el valor estimado de las obligaciones originadas por litigios y demandas en contra de la entidad, de las cuales se tiene la probabilidad de que la entidad tenga que desprenderse de recursos, este valor estimado proviene del aplicativo </w:t>
      </w:r>
      <w:proofErr w:type="spellStart"/>
      <w:r w:rsidRPr="000741E8">
        <w:rPr>
          <w:rFonts w:ascii="Times New Roman" w:hAnsi="Times New Roman"/>
          <w:sz w:val="24"/>
          <w:szCs w:val="24"/>
          <w:lang w:val="es-419"/>
        </w:rPr>
        <w:t>Siproj</w:t>
      </w:r>
      <w:proofErr w:type="spellEnd"/>
      <w:r w:rsidRPr="000741E8">
        <w:rPr>
          <w:rFonts w:ascii="Times New Roman" w:hAnsi="Times New Roman"/>
          <w:sz w:val="24"/>
          <w:szCs w:val="24"/>
          <w:lang w:val="es-419"/>
        </w:rPr>
        <w:t xml:space="preserve"> web de la Secretaria Jurídica de Bogotá.</w:t>
      </w:r>
    </w:p>
    <w:p w:rsidR="0065290A" w:rsidRPr="000741E8" w:rsidRDefault="0065290A" w:rsidP="0065290A">
      <w:pPr>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La variación de $547.997.963 corresponde a registro de los procesos de </w:t>
      </w:r>
      <w:proofErr w:type="spellStart"/>
      <w:r w:rsidRPr="000741E8">
        <w:rPr>
          <w:rFonts w:ascii="Times New Roman" w:hAnsi="Times New Roman"/>
          <w:sz w:val="24"/>
          <w:szCs w:val="24"/>
          <w:lang w:val="es-419"/>
        </w:rPr>
        <w:t>Jesus</w:t>
      </w:r>
      <w:proofErr w:type="spellEnd"/>
      <w:r w:rsidRPr="000741E8">
        <w:rPr>
          <w:rFonts w:ascii="Times New Roman" w:hAnsi="Times New Roman"/>
          <w:sz w:val="24"/>
          <w:szCs w:val="24"/>
          <w:lang w:val="es-419"/>
        </w:rPr>
        <w:t xml:space="preserve"> Antonio </w:t>
      </w:r>
      <w:proofErr w:type="spellStart"/>
      <w:r w:rsidRPr="000741E8">
        <w:rPr>
          <w:rFonts w:ascii="Times New Roman" w:hAnsi="Times New Roman"/>
          <w:sz w:val="24"/>
          <w:szCs w:val="24"/>
          <w:lang w:val="es-419"/>
        </w:rPr>
        <w:t>Mateus</w:t>
      </w:r>
      <w:proofErr w:type="spellEnd"/>
      <w:r w:rsidRPr="000741E8">
        <w:rPr>
          <w:rFonts w:ascii="Times New Roman" w:hAnsi="Times New Roman"/>
          <w:sz w:val="24"/>
          <w:szCs w:val="24"/>
          <w:lang w:val="es-419"/>
        </w:rPr>
        <w:t xml:space="preserve">, Organización </w:t>
      </w:r>
      <w:proofErr w:type="spellStart"/>
      <w:r w:rsidRPr="000741E8">
        <w:rPr>
          <w:rFonts w:ascii="Times New Roman" w:hAnsi="Times New Roman"/>
          <w:sz w:val="24"/>
          <w:szCs w:val="24"/>
          <w:lang w:val="es-419"/>
        </w:rPr>
        <w:t>Terpel</w:t>
      </w:r>
      <w:proofErr w:type="spellEnd"/>
      <w:r w:rsidRPr="000741E8">
        <w:rPr>
          <w:rFonts w:ascii="Times New Roman" w:hAnsi="Times New Roman"/>
          <w:sz w:val="24"/>
          <w:szCs w:val="24"/>
          <w:lang w:val="es-419"/>
        </w:rPr>
        <w:t>, Luis Orlando Delgadillo Ayala y ajustes a favor y en contra.</w:t>
      </w:r>
    </w:p>
    <w:p w:rsidR="0065290A" w:rsidRPr="000741E8" w:rsidRDefault="0065290A" w:rsidP="0065290A">
      <w:pPr>
        <w:spacing w:after="0" w:line="240" w:lineRule="auto"/>
        <w:jc w:val="both"/>
        <w:rPr>
          <w:rFonts w:ascii="Times New Roman" w:hAnsi="Times New Roman"/>
          <w:sz w:val="24"/>
          <w:szCs w:val="24"/>
          <w:u w:val="single"/>
        </w:rPr>
      </w:pPr>
    </w:p>
    <w:p w:rsidR="0065290A" w:rsidRPr="000741E8" w:rsidRDefault="0065290A" w:rsidP="0065290A">
      <w:pPr>
        <w:pStyle w:val="Ttulo2"/>
        <w:numPr>
          <w:ilvl w:val="1"/>
          <w:numId w:val="19"/>
        </w:numPr>
        <w:ind w:left="567" w:hanging="567"/>
        <w:rPr>
          <w:rFonts w:cs="Times New Roman"/>
          <w:szCs w:val="24"/>
        </w:rPr>
      </w:pPr>
      <w:bookmarkStart w:id="65" w:name="_Toc30823524"/>
      <w:r w:rsidRPr="000741E8">
        <w:rPr>
          <w:rFonts w:cs="Times New Roman"/>
          <w:szCs w:val="24"/>
        </w:rPr>
        <w:t>Litigios y demandas</w:t>
      </w:r>
      <w:bookmarkEnd w:id="65"/>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pStyle w:val="Ttulo3"/>
        <w:rPr>
          <w:rFonts w:cs="Times New Roman"/>
        </w:rPr>
      </w:pPr>
      <w:bookmarkStart w:id="66" w:name="_Toc30823525"/>
      <w:r w:rsidRPr="000741E8">
        <w:rPr>
          <w:rFonts w:cs="Times New Roman"/>
        </w:rPr>
        <w:t>Anexo 23.1.</w:t>
      </w:r>
      <w:bookmarkEnd w:id="66"/>
    </w:p>
    <w:p w:rsidR="0065290A" w:rsidRPr="000741E8" w:rsidRDefault="0065290A" w:rsidP="0065290A">
      <w:pPr>
        <w:spacing w:after="0" w:line="240" w:lineRule="auto"/>
        <w:ind w:left="72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28231A07" wp14:editId="65AA51C9">
            <wp:extent cx="5608224" cy="63457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9262"/>
                    <a:stretch/>
                  </pic:blipFill>
                  <pic:spPr bwMode="auto">
                    <a:xfrm>
                      <a:off x="0" y="0"/>
                      <a:ext cx="5612130" cy="635012"/>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el anexo anterior observamos que se ajustó la medición del valor descontado en $-29.942.368 registrados teniendo en cuenta el aplicativo </w:t>
      </w:r>
      <w:proofErr w:type="spellStart"/>
      <w:r w:rsidRPr="000741E8">
        <w:rPr>
          <w:rFonts w:ascii="Times New Roman" w:hAnsi="Times New Roman"/>
          <w:sz w:val="24"/>
          <w:szCs w:val="24"/>
          <w:lang w:val="es-419"/>
        </w:rPr>
        <w:t>Siprojweb</w:t>
      </w:r>
      <w:proofErr w:type="spellEnd"/>
      <w:r w:rsidRPr="000741E8">
        <w:rPr>
          <w:rFonts w:ascii="Times New Roman" w:hAnsi="Times New Roman"/>
          <w:sz w:val="24"/>
          <w:szCs w:val="24"/>
          <w:lang w:val="es-419"/>
        </w:rPr>
        <w:t>,  en procesos administrativos se encuentran registrados 5 por un valor de $816.866.839 y en procesos laborales se encuentra un proceso por valor de $43.880.064.</w:t>
      </w:r>
    </w:p>
    <w:p w:rsidR="0065290A" w:rsidRPr="000741E8" w:rsidRDefault="0065290A" w:rsidP="0065290A">
      <w:pPr>
        <w:spacing w:after="0" w:line="240" w:lineRule="auto"/>
        <w:jc w:val="both"/>
        <w:rPr>
          <w:rFonts w:ascii="Times New Roman" w:hAnsi="Times New Roman"/>
          <w:sz w:val="24"/>
          <w:szCs w:val="24"/>
          <w:u w:val="single"/>
          <w:lang w:val="es-419"/>
        </w:rPr>
      </w:pPr>
    </w:p>
    <w:p w:rsidR="0065290A" w:rsidRPr="000741E8" w:rsidRDefault="0065290A" w:rsidP="0065290A">
      <w:pPr>
        <w:pStyle w:val="Ttulo3"/>
        <w:rPr>
          <w:rFonts w:cs="Times New Roman"/>
          <w:lang w:val="es-419"/>
        </w:rPr>
      </w:pPr>
      <w:bookmarkStart w:id="67" w:name="_Toc30823526"/>
      <w:r w:rsidRPr="000741E8">
        <w:rPr>
          <w:rFonts w:cs="Times New Roman"/>
          <w:lang w:val="es-419"/>
        </w:rPr>
        <w:t>Anexo 23.2.</w:t>
      </w:r>
      <w:bookmarkEnd w:id="67"/>
    </w:p>
    <w:p w:rsidR="0065290A" w:rsidRPr="000741E8" w:rsidRDefault="0065290A" w:rsidP="0065290A">
      <w:pPr>
        <w:spacing w:after="0" w:line="240" w:lineRule="auto"/>
        <w:jc w:val="both"/>
        <w:rPr>
          <w:rFonts w:ascii="Times New Roman" w:hAnsi="Times New Roman"/>
          <w:sz w:val="24"/>
          <w:szCs w:val="24"/>
          <w:u w:val="single"/>
        </w:rPr>
      </w:pPr>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521084A7" wp14:editId="5EBDE570">
            <wp:extent cx="5791835" cy="686783"/>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91835" cy="686783"/>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Se encuentran registrados 4 procesos con estimación de fecha de pago de 1 a 3 años y 2 procesos con estimación de3 a 5 años.</w:t>
      </w:r>
    </w:p>
    <w:p w:rsidR="0065290A" w:rsidRPr="000741E8" w:rsidRDefault="0065290A" w:rsidP="0065290A">
      <w:pPr>
        <w:pStyle w:val="Prrafodelista"/>
        <w:spacing w:after="0" w:line="240" w:lineRule="auto"/>
        <w:ind w:left="0"/>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1"/>
        <w:rPr>
          <w:rFonts w:cs="Times New Roman"/>
          <w:sz w:val="24"/>
          <w:szCs w:val="24"/>
          <w:lang w:val="es-419"/>
        </w:rPr>
      </w:pPr>
      <w:bookmarkStart w:id="68" w:name="_Toc30823527"/>
      <w:r w:rsidRPr="000741E8">
        <w:rPr>
          <w:rFonts w:cs="Times New Roman"/>
          <w:sz w:val="24"/>
          <w:szCs w:val="24"/>
        </w:rPr>
        <w:lastRenderedPageBreak/>
        <w:t>NOTA 25. ACTIVOS Y PASIVOS CONTINGENTES</w:t>
      </w:r>
      <w:bookmarkEnd w:id="68"/>
      <w:r w:rsidRPr="000741E8">
        <w:rPr>
          <w:rFonts w:cs="Times New Roman"/>
          <w:sz w:val="24"/>
          <w:szCs w:val="24"/>
          <w:lang w:val="es-419"/>
        </w:rPr>
        <w:t xml:space="preserve"> </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1"/>
          <w:numId w:val="20"/>
        </w:numPr>
        <w:ind w:left="567" w:hanging="567"/>
        <w:rPr>
          <w:rFonts w:cs="Times New Roman"/>
          <w:szCs w:val="24"/>
        </w:rPr>
      </w:pPr>
      <w:bookmarkStart w:id="69" w:name="_Toc30823528"/>
      <w:r w:rsidRPr="000741E8">
        <w:rPr>
          <w:rFonts w:cs="Times New Roman"/>
          <w:szCs w:val="24"/>
        </w:rPr>
        <w:t>Activos contingentes</w:t>
      </w:r>
      <w:bookmarkEnd w:id="69"/>
    </w:p>
    <w:p w:rsidR="0065290A" w:rsidRPr="000741E8" w:rsidRDefault="0065290A" w:rsidP="0065290A">
      <w:pPr>
        <w:pStyle w:val="Prrafodelista"/>
        <w:spacing w:after="0" w:line="240" w:lineRule="auto"/>
        <w:jc w:val="both"/>
        <w:rPr>
          <w:rFonts w:ascii="Times New Roman" w:hAnsi="Times New Roman"/>
          <w:sz w:val="24"/>
          <w:szCs w:val="24"/>
          <w:u w:val="single"/>
        </w:rPr>
      </w:pPr>
    </w:p>
    <w:p w:rsidR="0065290A" w:rsidRPr="000741E8" w:rsidRDefault="0065290A" w:rsidP="0065290A">
      <w:pPr>
        <w:pStyle w:val="Ttulo3"/>
        <w:numPr>
          <w:ilvl w:val="2"/>
          <w:numId w:val="20"/>
        </w:numPr>
        <w:ind w:left="709" w:hanging="709"/>
        <w:rPr>
          <w:rFonts w:cs="Times New Roman"/>
        </w:rPr>
      </w:pPr>
      <w:bookmarkStart w:id="70" w:name="_Toc30823529"/>
      <w:r w:rsidRPr="000741E8">
        <w:rPr>
          <w:rFonts w:cs="Times New Roman"/>
        </w:rPr>
        <w:t>Revelaciones generales de activos contingentes</w:t>
      </w:r>
      <w:bookmarkEnd w:id="70"/>
    </w:p>
    <w:p w:rsidR="0065290A" w:rsidRPr="000741E8" w:rsidRDefault="0065290A" w:rsidP="0065290A">
      <w:pPr>
        <w:rPr>
          <w:rFonts w:ascii="Times New Roman" w:hAnsi="Times New Roman"/>
          <w:sz w:val="24"/>
          <w:szCs w:val="24"/>
        </w:rPr>
      </w:pPr>
    </w:p>
    <w:p w:rsidR="0065290A" w:rsidRPr="000741E8" w:rsidRDefault="0065290A" w:rsidP="0065290A">
      <w:pPr>
        <w:pStyle w:val="Ttulo4"/>
        <w:rPr>
          <w:rFonts w:ascii="Times New Roman" w:hAnsi="Times New Roman" w:cs="Times New Roman"/>
          <w:i w:val="0"/>
          <w:color w:val="auto"/>
          <w:sz w:val="24"/>
          <w:szCs w:val="24"/>
          <w:lang w:val="es-419"/>
        </w:rPr>
      </w:pPr>
      <w:r w:rsidRPr="000741E8">
        <w:rPr>
          <w:rFonts w:ascii="Times New Roman" w:hAnsi="Times New Roman" w:cs="Times New Roman"/>
          <w:i w:val="0"/>
          <w:color w:val="auto"/>
          <w:sz w:val="24"/>
          <w:szCs w:val="24"/>
          <w:lang w:val="es-419"/>
        </w:rPr>
        <w:t>Anexo 25.1.1.</w:t>
      </w:r>
    </w:p>
    <w:p w:rsidR="0065290A" w:rsidRPr="000741E8" w:rsidRDefault="0065290A" w:rsidP="0065290A">
      <w:pPr>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3617F3AC" wp14:editId="4FEBDC3C">
            <wp:extent cx="5791835" cy="945690"/>
            <wp:effectExtent l="0" t="0" r="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835" cy="945690"/>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numPr>
          <w:ilvl w:val="1"/>
          <w:numId w:val="36"/>
        </w:numPr>
        <w:rPr>
          <w:rFonts w:cs="Times New Roman"/>
          <w:lang w:val="es-419"/>
        </w:rPr>
      </w:pPr>
      <w:r w:rsidRPr="000741E8">
        <w:rPr>
          <w:rFonts w:cs="Times New Roman"/>
          <w:lang w:val="es-419"/>
        </w:rPr>
        <w:t xml:space="preserve"> </w:t>
      </w:r>
      <w:bookmarkStart w:id="71" w:name="_Toc30823530"/>
      <w:r w:rsidRPr="000741E8">
        <w:rPr>
          <w:rFonts w:cs="Times New Roman"/>
          <w:lang w:val="es-419"/>
        </w:rPr>
        <w:t>Pasivos contingentes</w:t>
      </w:r>
      <w:bookmarkEnd w:id="71"/>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25.2.1 Revelaciones generales de pasivos contingentes</w:t>
      </w:r>
    </w:p>
    <w:p w:rsidR="0065290A" w:rsidRPr="000741E8" w:rsidRDefault="0065290A" w:rsidP="0065290A">
      <w:pPr>
        <w:pStyle w:val="Ttulo5"/>
        <w:rPr>
          <w:rFonts w:ascii="Times New Roman" w:hAnsi="Times New Roman" w:cs="Times New Roman"/>
          <w:color w:val="auto"/>
          <w:sz w:val="24"/>
          <w:szCs w:val="24"/>
          <w:lang w:val="es-419"/>
        </w:rPr>
      </w:pPr>
      <w:r w:rsidRPr="000741E8">
        <w:rPr>
          <w:rFonts w:ascii="Times New Roman" w:hAnsi="Times New Roman" w:cs="Times New Roman"/>
          <w:color w:val="auto"/>
          <w:sz w:val="24"/>
          <w:szCs w:val="24"/>
          <w:lang w:val="es-419"/>
        </w:rPr>
        <w:t>Anexo 25.1.2.</w:t>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266CBFF7" wp14:editId="350D3C3A">
            <wp:extent cx="5791835" cy="946720"/>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1835" cy="946720"/>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esta cuenta se encuentran registrados 3 procesos iniciados a favor de la Entidad a nombre de José Ovidio Claros Polanco (2 procesos) y Jairo Ochoa </w:t>
      </w:r>
      <w:proofErr w:type="spellStart"/>
      <w:r w:rsidRPr="000741E8">
        <w:rPr>
          <w:rFonts w:ascii="Times New Roman" w:hAnsi="Times New Roman"/>
          <w:sz w:val="24"/>
          <w:szCs w:val="24"/>
          <w:lang w:val="es-419"/>
        </w:rPr>
        <w:t>Ochoa</w:t>
      </w:r>
      <w:proofErr w:type="spellEnd"/>
      <w:r w:rsidRPr="000741E8">
        <w:rPr>
          <w:rFonts w:ascii="Times New Roman" w:hAnsi="Times New Roman"/>
          <w:sz w:val="24"/>
          <w:szCs w:val="24"/>
          <w:lang w:val="es-419"/>
        </w:rPr>
        <w:t xml:space="preserve"> por valor de $1.171.447.794 el cual no tuvo variaciones con relación a la vigencia 2018.</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Y la partida de $142.024.627.09 corresponde a procesos en curso que se llevan en la oficina de Jurisdicción Coactiva de la Entidad por concepto de Multas, costas, salarios y prestaciones sociales, sanciones y deudores varios, con relación a la vigencia 2018 tuvo una variación de $5.827.908 que corresponde a registro de costas y sanciones a nombre de Diana Daza por $4.140.580 y Milton Reyes por $1.889.473 respectivamente y movimientos de retiro de procesos.  </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1"/>
          <w:numId w:val="20"/>
        </w:numPr>
        <w:ind w:left="567" w:hanging="567"/>
        <w:rPr>
          <w:rFonts w:cs="Times New Roman"/>
          <w:szCs w:val="24"/>
        </w:rPr>
      </w:pPr>
      <w:bookmarkStart w:id="72" w:name="_Toc30823531"/>
      <w:r w:rsidRPr="000741E8">
        <w:rPr>
          <w:rFonts w:cs="Times New Roman"/>
          <w:szCs w:val="24"/>
        </w:rPr>
        <w:t>Pasivos contingentes</w:t>
      </w:r>
      <w:bookmarkEnd w:id="72"/>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57CC3A36" wp14:editId="50E20BD9">
            <wp:extent cx="5612130" cy="88478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2130" cy="884780"/>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esta cuenta se </w:t>
      </w:r>
      <w:proofErr w:type="spellStart"/>
      <w:r w:rsidRPr="000741E8">
        <w:rPr>
          <w:rFonts w:ascii="Times New Roman" w:hAnsi="Times New Roman"/>
          <w:sz w:val="24"/>
          <w:szCs w:val="24"/>
          <w:lang w:val="es-419"/>
        </w:rPr>
        <w:t>egistran</w:t>
      </w:r>
      <w:proofErr w:type="spellEnd"/>
      <w:r w:rsidRPr="000741E8">
        <w:rPr>
          <w:rFonts w:ascii="Times New Roman" w:hAnsi="Times New Roman"/>
          <w:sz w:val="24"/>
          <w:szCs w:val="24"/>
          <w:lang w:val="es-419"/>
        </w:rPr>
        <w:t xml:space="preserve"> procesos en contra de la entidad con una probabilidad de ocurrencia de 10 a 50%, se clasifican como procesos posibles y son actualizados de acuerdo al sistema </w:t>
      </w:r>
      <w:proofErr w:type="spellStart"/>
      <w:r w:rsidRPr="000741E8">
        <w:rPr>
          <w:rFonts w:ascii="Times New Roman" w:hAnsi="Times New Roman"/>
          <w:sz w:val="24"/>
          <w:szCs w:val="24"/>
          <w:lang w:val="es-419"/>
        </w:rPr>
        <w:t>Siprojweb</w:t>
      </w:r>
      <w:proofErr w:type="spellEnd"/>
      <w:r w:rsidRPr="000741E8">
        <w:rPr>
          <w:rFonts w:ascii="Times New Roman" w:hAnsi="Times New Roman"/>
          <w:sz w:val="24"/>
          <w:szCs w:val="24"/>
          <w:lang w:val="es-419"/>
        </w:rPr>
        <w:t xml:space="preserve"> de la Secretaria jurídica.</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73" w:name="_Toc30823532"/>
      <w:r w:rsidRPr="000741E8">
        <w:rPr>
          <w:rFonts w:cs="Times New Roman"/>
          <w:lang w:val="es-419"/>
        </w:rPr>
        <w:t>25.2.1  Revelaciones Generales</w:t>
      </w:r>
      <w:bookmarkEnd w:id="73"/>
    </w:p>
    <w:p w:rsidR="0065290A" w:rsidRPr="000741E8" w:rsidRDefault="0065290A" w:rsidP="0065290A">
      <w:pPr>
        <w:rPr>
          <w:rFonts w:ascii="Times New Roman" w:hAnsi="Times New Roman"/>
          <w:sz w:val="24"/>
          <w:szCs w:val="24"/>
          <w:lang w:val="es-419"/>
        </w:rPr>
      </w:pPr>
    </w:p>
    <w:p w:rsidR="0065290A" w:rsidRPr="000741E8" w:rsidRDefault="0065290A" w:rsidP="0065290A">
      <w:pPr>
        <w:pStyle w:val="Ttulo4"/>
        <w:rPr>
          <w:rFonts w:ascii="Times New Roman" w:hAnsi="Times New Roman" w:cs="Times New Roman"/>
          <w:sz w:val="24"/>
          <w:szCs w:val="24"/>
          <w:lang w:val="es-419"/>
        </w:rPr>
      </w:pPr>
      <w:r w:rsidRPr="000741E8">
        <w:rPr>
          <w:rFonts w:ascii="Times New Roman" w:hAnsi="Times New Roman" w:cs="Times New Roman"/>
          <w:i w:val="0"/>
          <w:color w:val="auto"/>
          <w:sz w:val="24"/>
          <w:szCs w:val="24"/>
          <w:lang w:val="es-419"/>
        </w:rPr>
        <w:t>-</w:t>
      </w:r>
      <w:r w:rsidRPr="000741E8">
        <w:rPr>
          <w:rFonts w:ascii="Times New Roman" w:hAnsi="Times New Roman" w:cs="Times New Roman"/>
          <w:sz w:val="24"/>
          <w:szCs w:val="24"/>
          <w:lang w:val="es-419"/>
        </w:rPr>
        <w:t xml:space="preserve"> </w:t>
      </w:r>
      <w:r w:rsidRPr="000741E8">
        <w:rPr>
          <w:rFonts w:ascii="Times New Roman" w:hAnsi="Times New Roman" w:cs="Times New Roman"/>
          <w:i w:val="0"/>
          <w:color w:val="auto"/>
          <w:sz w:val="24"/>
          <w:szCs w:val="24"/>
          <w:lang w:val="es-419"/>
        </w:rPr>
        <w:t>Anexo 25.2.1.</w:t>
      </w:r>
    </w:p>
    <w:p w:rsidR="0065290A" w:rsidRPr="000741E8" w:rsidRDefault="0065290A" w:rsidP="0065290A">
      <w:pPr>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0AED62B2" wp14:editId="4FEFF87E">
            <wp:extent cx="5612130" cy="980549"/>
            <wp:effectExtent l="0" t="0" r="762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980549"/>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Se encuentran registrados en la cuenta 9120 Laborales 15 procesos y administrativos 38, según reporte a diciembre 31 de 2019 del sistema </w:t>
      </w:r>
      <w:proofErr w:type="spellStart"/>
      <w:r w:rsidRPr="000741E8">
        <w:rPr>
          <w:rFonts w:ascii="Times New Roman" w:hAnsi="Times New Roman"/>
          <w:sz w:val="24"/>
          <w:szCs w:val="24"/>
          <w:lang w:val="es-419"/>
        </w:rPr>
        <w:t>siprojweb</w:t>
      </w:r>
      <w:proofErr w:type="spellEnd"/>
      <w:r w:rsidRPr="000741E8">
        <w:rPr>
          <w:rFonts w:ascii="Times New Roman" w:hAnsi="Times New Roman"/>
          <w:sz w:val="24"/>
          <w:szCs w:val="24"/>
          <w:lang w:val="es-419"/>
        </w:rPr>
        <w:t>.</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También hay un proceso laboral con valor cero y 9 procesos administrativos con valor cero, 2 obligaciones remotas y 19 sin obligación estos últimos no son objeto de registro solo de revelación.</w:t>
      </w:r>
    </w:p>
    <w:p w:rsidR="0065290A" w:rsidRPr="000741E8" w:rsidRDefault="0065290A" w:rsidP="0065290A">
      <w:pPr>
        <w:spacing w:after="0" w:line="240" w:lineRule="auto"/>
        <w:jc w:val="both"/>
        <w:rPr>
          <w:rFonts w:ascii="Times New Roman" w:hAnsi="Times New Roman"/>
          <w:sz w:val="24"/>
          <w:szCs w:val="24"/>
          <w:lang w:val="es-419"/>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Default="0065290A" w:rsidP="0065290A">
      <w:pPr>
        <w:spacing w:after="0" w:line="240" w:lineRule="auto"/>
        <w:jc w:val="both"/>
        <w:rPr>
          <w:rFonts w:ascii="Times New Roman" w:hAnsi="Times New Roman"/>
          <w:sz w:val="24"/>
          <w:szCs w:val="24"/>
        </w:rPr>
      </w:pPr>
    </w:p>
    <w:p w:rsidR="0065290A" w:rsidRPr="000741E8" w:rsidRDefault="0065290A" w:rsidP="0065290A">
      <w:pPr>
        <w:spacing w:after="0" w:line="240" w:lineRule="auto"/>
        <w:jc w:val="both"/>
        <w:rPr>
          <w:rFonts w:ascii="Times New Roman" w:hAnsi="Times New Roman"/>
          <w:sz w:val="24"/>
          <w:szCs w:val="24"/>
        </w:rPr>
      </w:pPr>
    </w:p>
    <w:p w:rsidR="0065290A" w:rsidRPr="000741E8" w:rsidRDefault="0065290A" w:rsidP="0065290A">
      <w:pPr>
        <w:pStyle w:val="Ttulo1"/>
        <w:rPr>
          <w:rFonts w:cs="Times New Roman"/>
          <w:sz w:val="24"/>
          <w:szCs w:val="24"/>
        </w:rPr>
      </w:pPr>
      <w:bookmarkStart w:id="74" w:name="_Toc30823533"/>
      <w:r w:rsidRPr="000741E8">
        <w:rPr>
          <w:rFonts w:cs="Times New Roman"/>
          <w:sz w:val="24"/>
          <w:szCs w:val="24"/>
        </w:rPr>
        <w:lastRenderedPageBreak/>
        <w:t>NOTA 26. CUENTAS DE ORDEN</w:t>
      </w:r>
      <w:bookmarkEnd w:id="74"/>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1"/>
          <w:numId w:val="22"/>
        </w:numPr>
        <w:ind w:left="567" w:hanging="567"/>
        <w:rPr>
          <w:rFonts w:cs="Times New Roman"/>
          <w:szCs w:val="24"/>
        </w:rPr>
      </w:pPr>
      <w:bookmarkStart w:id="75" w:name="_Toc30823534"/>
      <w:r w:rsidRPr="000741E8">
        <w:rPr>
          <w:rFonts w:cs="Times New Roman"/>
          <w:szCs w:val="24"/>
        </w:rPr>
        <w:t>Cuentas de orden deudoras</w:t>
      </w:r>
      <w:bookmarkEnd w:id="75"/>
    </w:p>
    <w:p w:rsidR="0065290A" w:rsidRPr="000741E8"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441CCB98" wp14:editId="1FBB6D8C">
            <wp:extent cx="5791835" cy="5504869"/>
            <wp:effectExtent l="0" t="0" r="0" b="63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91835" cy="5504869"/>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la cuenta 81 se encuentran registrados procesos iniciados a favor de la Entidad por valor de $1.171.447.794 y $142.024.627 correspondiente a procesos en curso que se llevan en la oficina de Jurisdicción Coactiva de la Entidad por concepto de Multas, costas, salarios y prestaciones sociales, sanciones y deudores varios, con relación a la vigencia 2018 tuvo una variación de $5.827.908 que corresponde a registro de costas y sanciones a nombre de Diana Daza por $4.140.580 y Milton Reyes por $1.889.473 respectivamente y respectivamente y movimientos de retiro de procesos.  </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lastRenderedPageBreak/>
        <w:t>Bienes y derechos retirados 8315 corresponde a bienes dados de baja mediante resolución 3271 del 24 de diciembre 2019  pendientes de disposición final y bienes dados de baja en periodos anteriores.</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rPr>
        <w:t xml:space="preserve">La Contraloría de Bogotá continua con el Comodato No.051 de 2013 – en donde entregó a la </w:t>
      </w:r>
      <w:proofErr w:type="spellStart"/>
      <w:r w:rsidRPr="000741E8">
        <w:rPr>
          <w:rFonts w:ascii="Times New Roman" w:hAnsi="Times New Roman"/>
          <w:color w:val="000000"/>
          <w:sz w:val="24"/>
          <w:szCs w:val="24"/>
        </w:rPr>
        <w:t>Registradur</w:t>
      </w:r>
      <w:proofErr w:type="spellEnd"/>
      <w:r w:rsidRPr="000741E8">
        <w:rPr>
          <w:rFonts w:ascii="Times New Roman" w:hAnsi="Times New Roman"/>
          <w:color w:val="000000"/>
          <w:sz w:val="24"/>
          <w:szCs w:val="24"/>
          <w:lang w:val="es-419"/>
        </w:rPr>
        <w:t>í</w:t>
      </w:r>
      <w:r w:rsidRPr="000741E8">
        <w:rPr>
          <w:rFonts w:ascii="Times New Roman" w:hAnsi="Times New Roman"/>
          <w:color w:val="000000"/>
          <w:sz w:val="24"/>
          <w:szCs w:val="24"/>
        </w:rPr>
        <w:t xml:space="preserve">a Nacional del Estado Civil la casa ubicada en la AK 28 35 24 hasta el 28 de febrero de 2.020, la cuál ha sido renovada continuamente y quien maneja el control es la </w:t>
      </w:r>
      <w:proofErr w:type="spellStart"/>
      <w:r w:rsidRPr="000741E8">
        <w:rPr>
          <w:rFonts w:ascii="Times New Roman" w:hAnsi="Times New Roman"/>
          <w:color w:val="000000"/>
          <w:sz w:val="24"/>
          <w:szCs w:val="24"/>
        </w:rPr>
        <w:t>Registraduría</w:t>
      </w:r>
      <w:proofErr w:type="spellEnd"/>
      <w:r w:rsidRPr="000741E8">
        <w:rPr>
          <w:rFonts w:ascii="Times New Roman" w:hAnsi="Times New Roman"/>
          <w:color w:val="000000"/>
          <w:sz w:val="24"/>
          <w:szCs w:val="24"/>
        </w:rPr>
        <w:t>, este bien se encuentra registrado a valor de mercado en cuentas de orden 8347 Bienes entregados a terceros ya que sobre estos inmuebles la Contraloría de Bogotá no tiene el control.</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El saldo de la cuenta 8361 corresponde a procesos por responsabilidades que se adelantan en la Auditoria Fiscal ante la Contraloría de Bogotá.</w:t>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 </w:t>
      </w:r>
    </w:p>
    <w:p w:rsidR="0065290A" w:rsidRPr="000741E8" w:rsidRDefault="0065290A" w:rsidP="0065290A">
      <w:pPr>
        <w:rPr>
          <w:rFonts w:ascii="Times New Roman" w:hAnsi="Times New Roman"/>
          <w:sz w:val="24"/>
          <w:szCs w:val="24"/>
          <w:lang w:val="es-419"/>
        </w:rPr>
      </w:pPr>
      <w:r w:rsidRPr="000741E8">
        <w:rPr>
          <w:rFonts w:ascii="Times New Roman" w:hAnsi="Times New Roman"/>
          <w:color w:val="000000"/>
          <w:sz w:val="24"/>
          <w:szCs w:val="24"/>
          <w:lang w:val="es-419"/>
        </w:rPr>
        <w:t xml:space="preserve">El saldo de la cuenta 8390 corresponde a registro de </w:t>
      </w:r>
      <w:r w:rsidRPr="000741E8">
        <w:rPr>
          <w:rFonts w:ascii="Times New Roman" w:hAnsi="Times New Roman"/>
          <w:sz w:val="24"/>
          <w:szCs w:val="24"/>
          <w:lang w:val="es-419"/>
        </w:rPr>
        <w:t>bienes de consumo controlado.</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lang w:val="es-419"/>
        </w:rPr>
      </w:pPr>
      <w:bookmarkStart w:id="76" w:name="_Toc30823535"/>
      <w:r w:rsidRPr="000741E8">
        <w:rPr>
          <w:rFonts w:cs="Times New Roman"/>
          <w:szCs w:val="24"/>
          <w:lang w:val="es-419"/>
        </w:rPr>
        <w:t>26.2. Cuentas de orden acreedoras</w:t>
      </w:r>
      <w:bookmarkEnd w:id="76"/>
    </w:p>
    <w:p w:rsidR="0065290A" w:rsidRPr="000741E8" w:rsidRDefault="0065290A" w:rsidP="0065290A">
      <w:pPr>
        <w:pStyle w:val="Prrafodelista"/>
        <w:spacing w:after="0" w:line="240" w:lineRule="auto"/>
        <w:ind w:left="1260"/>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noProof/>
          <w:sz w:val="24"/>
          <w:szCs w:val="24"/>
          <w:lang w:eastAsia="es-CO"/>
        </w:rPr>
        <w:drawing>
          <wp:inline distT="0" distB="0" distL="0" distR="0" wp14:anchorId="746659D7" wp14:editId="15917FF9">
            <wp:extent cx="5791835" cy="2330543"/>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91835" cy="2330543"/>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la cuenta 91 se encuentran registrados 15 procesos laborales y 38 procesos administrativos en contra de la entidad con una probabilidad de ocurrencia de 10 a 50%, se clasifican como procesos posibles y son actualizados de acuerdo al sistema </w:t>
      </w:r>
      <w:proofErr w:type="spellStart"/>
      <w:r w:rsidRPr="000741E8">
        <w:rPr>
          <w:rFonts w:ascii="Times New Roman" w:hAnsi="Times New Roman"/>
          <w:sz w:val="24"/>
          <w:szCs w:val="24"/>
          <w:lang w:val="es-419"/>
        </w:rPr>
        <w:t>Siprojweb</w:t>
      </w:r>
      <w:proofErr w:type="spellEnd"/>
      <w:r w:rsidRPr="000741E8">
        <w:rPr>
          <w:rFonts w:ascii="Times New Roman" w:hAnsi="Times New Roman"/>
          <w:sz w:val="24"/>
          <w:szCs w:val="24"/>
          <w:lang w:val="es-419"/>
        </w:rPr>
        <w:t xml:space="preserve"> de la Secretaria </w:t>
      </w:r>
      <w:proofErr w:type="spellStart"/>
      <w:r w:rsidRPr="000741E8">
        <w:rPr>
          <w:rFonts w:ascii="Times New Roman" w:hAnsi="Times New Roman"/>
          <w:sz w:val="24"/>
          <w:szCs w:val="24"/>
          <w:lang w:val="es-419"/>
        </w:rPr>
        <w:t>Juridica</w:t>
      </w:r>
      <w:proofErr w:type="spellEnd"/>
      <w:r w:rsidRPr="000741E8">
        <w:rPr>
          <w:rFonts w:ascii="Times New Roman" w:hAnsi="Times New Roman"/>
          <w:sz w:val="24"/>
          <w:szCs w:val="24"/>
          <w:lang w:val="es-419"/>
        </w:rPr>
        <w:t>, el incremento corresponde a registro y actualización de procesos durante la vigencia 2019,  adicionalmente se encuentran registrados 10 contratos que fueron cancelados presupuestalmente pero no tienen acta de liquidación para ser terminados, en el área contable se encuentra en proceso de depuración.</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jc w:val="both"/>
        <w:rPr>
          <w:rFonts w:ascii="Times New Roman" w:hAnsi="Times New Roman"/>
          <w:color w:val="000000"/>
          <w:sz w:val="24"/>
          <w:szCs w:val="24"/>
          <w:lang w:val="es-419"/>
        </w:rPr>
      </w:pPr>
      <w:r w:rsidRPr="000741E8">
        <w:rPr>
          <w:rFonts w:ascii="Times New Roman" w:hAnsi="Times New Roman"/>
          <w:color w:val="000000"/>
          <w:sz w:val="24"/>
          <w:szCs w:val="24"/>
        </w:rPr>
        <w:lastRenderedPageBreak/>
        <w:t>La subcuenta 930616-Pagarés, letras de cambio y otros tiene registrados contablemente los títulos de depósito judicial constituidos en la cuenta de depósitos judiciales del Banco Agrario No. 110019196155, títulos correspondientes a garantías de fallos con responsabilidad fiscal realizados en los procesos de responsabilidad fiscal llevados en la Contraloría de Bogotá</w:t>
      </w:r>
      <w:r w:rsidRPr="000741E8">
        <w:rPr>
          <w:rFonts w:ascii="Times New Roman" w:hAnsi="Times New Roman"/>
          <w:color w:val="000000"/>
          <w:sz w:val="24"/>
          <w:szCs w:val="24"/>
          <w:lang w:val="es-419"/>
        </w:rPr>
        <w:t>. E</w:t>
      </w:r>
      <w:proofErr w:type="spellStart"/>
      <w:r w:rsidRPr="000741E8">
        <w:rPr>
          <w:rFonts w:ascii="Times New Roman" w:hAnsi="Times New Roman"/>
          <w:color w:val="000000"/>
          <w:sz w:val="24"/>
          <w:szCs w:val="24"/>
        </w:rPr>
        <w:t>stos</w:t>
      </w:r>
      <w:proofErr w:type="spellEnd"/>
      <w:r w:rsidRPr="000741E8">
        <w:rPr>
          <w:rFonts w:ascii="Times New Roman" w:hAnsi="Times New Roman"/>
          <w:color w:val="000000"/>
          <w:sz w:val="24"/>
          <w:szCs w:val="24"/>
        </w:rPr>
        <w:t xml:space="preserve"> títulos son custodiados por la Contraloría de Bogotá y somos la Entidad que de acuerdo a los autos, autoriza los endosos a las Entidades que sufrieron el detrimento patrimonial y les corresponden los dineros de acuerdo a auto de endoso</w:t>
      </w:r>
      <w:r w:rsidRPr="000741E8">
        <w:rPr>
          <w:rFonts w:ascii="Times New Roman" w:hAnsi="Times New Roman"/>
          <w:color w:val="000000"/>
          <w:sz w:val="24"/>
          <w:szCs w:val="24"/>
          <w:lang w:val="es-419"/>
        </w:rPr>
        <w:t>.</w:t>
      </w:r>
    </w:p>
    <w:p w:rsidR="0065290A" w:rsidRPr="000741E8" w:rsidRDefault="0065290A" w:rsidP="0065290A">
      <w:pPr>
        <w:jc w:val="both"/>
        <w:rPr>
          <w:rFonts w:ascii="Times New Roman" w:hAnsi="Times New Roman"/>
          <w:color w:val="000000"/>
          <w:sz w:val="24"/>
          <w:szCs w:val="24"/>
          <w:lang w:val="es-419"/>
        </w:rPr>
      </w:pP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lang w:val="es-419"/>
        </w:rPr>
        <w:t>E</w:t>
      </w:r>
      <w:r w:rsidRPr="000741E8">
        <w:rPr>
          <w:rFonts w:ascii="Times New Roman" w:hAnsi="Times New Roman"/>
          <w:color w:val="000000"/>
          <w:sz w:val="24"/>
          <w:szCs w:val="24"/>
        </w:rPr>
        <w:t xml:space="preserve">l saldo a 31 de diciembre de 2019 es por valor de </w:t>
      </w:r>
      <w:r w:rsidRPr="000741E8">
        <w:rPr>
          <w:rFonts w:ascii="Times New Roman" w:hAnsi="Times New Roman"/>
          <w:color w:val="000000"/>
          <w:sz w:val="24"/>
          <w:szCs w:val="24"/>
          <w:lang w:val="es-419"/>
        </w:rPr>
        <w:t>$</w:t>
      </w:r>
      <w:r w:rsidRPr="000741E8">
        <w:rPr>
          <w:rFonts w:ascii="Times New Roman" w:hAnsi="Times New Roman"/>
          <w:color w:val="000000"/>
          <w:sz w:val="24"/>
          <w:szCs w:val="24"/>
        </w:rPr>
        <w:t>970.296.061,04, cuenta conciliada a 31 de diciembre de 2019.  La variación se debió principalmente a los endosos de títulos judiciales constituidos por el Fideicomiso Concesiones CCFC S.A. con NIT 800.256.769  por valor de $13.882.251.314,97, debido a que se constituyeron  por efectos de las medidas cautelares del proceso de Cobro Coactivo No. 2060 y se presentó revocatoria de estas medidas cautelares, por tal motivo en la vigencia 2019 la Contraloría de Bogotá endoso los títulos judiciales a las fiduciarias que los constituyeron de acuerdo con autos proferidos por la Subdirección del Proceso de Responsabilidad Fiscal de la Contraloría de Bogotá.</w:t>
      </w:r>
    </w:p>
    <w:p w:rsidR="0065290A" w:rsidRPr="000741E8" w:rsidRDefault="0065290A" w:rsidP="0065290A">
      <w:pPr>
        <w:pStyle w:val="Prrafodelista"/>
        <w:spacing w:after="0" w:line="240" w:lineRule="auto"/>
        <w:jc w:val="both"/>
        <w:rPr>
          <w:rFonts w:ascii="Times New Roman" w:hAnsi="Times New Roman"/>
          <w:sz w:val="24"/>
          <w:szCs w:val="24"/>
          <w:u w:val="single"/>
        </w:rPr>
      </w:pPr>
    </w:p>
    <w:p w:rsidR="0065290A" w:rsidRPr="000741E8" w:rsidRDefault="0065290A" w:rsidP="0065290A">
      <w:pPr>
        <w:pStyle w:val="Ttulo1"/>
        <w:rPr>
          <w:rFonts w:cs="Times New Roman"/>
          <w:sz w:val="24"/>
          <w:szCs w:val="24"/>
        </w:rPr>
      </w:pPr>
      <w:bookmarkStart w:id="77" w:name="_Toc30823536"/>
      <w:r w:rsidRPr="000741E8">
        <w:rPr>
          <w:rFonts w:cs="Times New Roman"/>
          <w:sz w:val="24"/>
          <w:szCs w:val="24"/>
        </w:rPr>
        <w:t>NOTA 27. PATRIMONIO</w:t>
      </w:r>
      <w:bookmarkEnd w:id="77"/>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78" w:name="_Toc30823537"/>
      <w:r w:rsidRPr="000741E8">
        <w:rPr>
          <w:rFonts w:cs="Times New Roman"/>
          <w:szCs w:val="24"/>
        </w:rPr>
        <w:t>Composición</w:t>
      </w:r>
      <w:bookmarkEnd w:id="78"/>
    </w:p>
    <w:p w:rsidR="0065290A" w:rsidRPr="000741E8"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09E73878" wp14:editId="066E123D">
            <wp:extent cx="5791835" cy="1564884"/>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91835" cy="1564884"/>
                    </a:xfrm>
                    <a:prstGeom prst="rect">
                      <a:avLst/>
                    </a:prstGeom>
                    <a:noFill/>
                    <a:ln>
                      <a:no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Default="0065290A" w:rsidP="0065290A">
      <w:pPr>
        <w:spacing w:after="0" w:line="240" w:lineRule="auto"/>
        <w:ind w:firstLine="708"/>
        <w:jc w:val="both"/>
        <w:rPr>
          <w:rFonts w:ascii="Times New Roman" w:hAnsi="Times New Roman"/>
          <w:b/>
          <w:sz w:val="24"/>
          <w:szCs w:val="24"/>
        </w:rPr>
      </w:pPr>
    </w:p>
    <w:p w:rsidR="0065290A" w:rsidRPr="000741E8" w:rsidRDefault="0065290A" w:rsidP="0065290A">
      <w:pPr>
        <w:spacing w:after="0" w:line="240" w:lineRule="auto"/>
        <w:ind w:firstLine="708"/>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lang w:val="es-419"/>
        </w:rPr>
      </w:pPr>
      <w:bookmarkStart w:id="79" w:name="_Toc30823538"/>
      <w:r w:rsidRPr="000741E8">
        <w:rPr>
          <w:rFonts w:cs="Times New Roman"/>
          <w:szCs w:val="24"/>
          <w:lang w:val="es-419"/>
        </w:rPr>
        <w:lastRenderedPageBreak/>
        <w:t>27.4. Otro resultado integral (ORI) del periodo</w:t>
      </w:r>
      <w:bookmarkEnd w:id="79"/>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noProof/>
          <w:sz w:val="24"/>
          <w:szCs w:val="24"/>
          <w:lang w:eastAsia="es-CO"/>
        </w:rPr>
        <w:drawing>
          <wp:inline distT="0" distB="0" distL="0" distR="0" wp14:anchorId="47BE5BF1" wp14:editId="6CDA05B7">
            <wp:extent cx="5507205" cy="7322175"/>
            <wp:effectExtent l="19050" t="19050" r="17780" b="1270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27026" cy="7348528"/>
                    </a:xfrm>
                    <a:prstGeom prst="rect">
                      <a:avLst/>
                    </a:prstGeom>
                    <a:noFill/>
                    <a:ln>
                      <a:solidFill>
                        <a:schemeClr val="tx1"/>
                      </a:solidFill>
                    </a:ln>
                  </pic:spPr>
                </pic:pic>
              </a:graphicData>
            </a:graphic>
          </wp:inline>
        </w:drawing>
      </w:r>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b/>
          <w:sz w:val="24"/>
          <w:szCs w:val="24"/>
          <w:lang w:val="es-419"/>
        </w:rPr>
        <w:t xml:space="preserve"> </w:t>
      </w: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lastRenderedPageBreak/>
        <w:t>En la cuenta 31-09 se registran producto de conciliación de cuentas ajustes de periodos  anteriores relacionados en el anexo anterior.</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sz w:val="24"/>
          <w:szCs w:val="24"/>
          <w:lang w:val="es-419"/>
        </w:rPr>
        <w:t xml:space="preserve">En la vigencia 2019, debido al cruce de ingresos y gastos en el cierre de la vigencia, se generó una pérdida de $8.855.606.386,40., por el registro de las depreciaciones, del deterioro y del pago de la sentencia de la </w:t>
      </w:r>
      <w:proofErr w:type="spellStart"/>
      <w:r w:rsidRPr="000741E8">
        <w:rPr>
          <w:rFonts w:ascii="Times New Roman" w:hAnsi="Times New Roman"/>
          <w:sz w:val="24"/>
          <w:szCs w:val="24"/>
          <w:lang w:val="es-419"/>
        </w:rPr>
        <w:t>Sra</w:t>
      </w:r>
      <w:proofErr w:type="spellEnd"/>
      <w:r w:rsidRPr="000741E8">
        <w:rPr>
          <w:rFonts w:ascii="Times New Roman" w:hAnsi="Times New Roman"/>
          <w:sz w:val="24"/>
          <w:szCs w:val="24"/>
          <w:lang w:val="es-419"/>
        </w:rPr>
        <w:t xml:space="preserve"> </w:t>
      </w:r>
      <w:proofErr w:type="spellStart"/>
      <w:r w:rsidRPr="000741E8">
        <w:rPr>
          <w:rFonts w:ascii="Times New Roman" w:hAnsi="Times New Roman"/>
          <w:sz w:val="24"/>
          <w:szCs w:val="24"/>
          <w:lang w:val="es-419"/>
        </w:rPr>
        <w:t>Brianda</w:t>
      </w:r>
      <w:proofErr w:type="spellEnd"/>
      <w:r w:rsidRPr="000741E8">
        <w:rPr>
          <w:rFonts w:ascii="Times New Roman" w:hAnsi="Times New Roman"/>
          <w:sz w:val="24"/>
          <w:szCs w:val="24"/>
          <w:lang w:val="es-419"/>
        </w:rPr>
        <w:t xml:space="preserve"> </w:t>
      </w:r>
      <w:proofErr w:type="spellStart"/>
      <w:r w:rsidRPr="000741E8">
        <w:rPr>
          <w:rFonts w:ascii="Times New Roman" w:hAnsi="Times New Roman"/>
          <w:sz w:val="24"/>
          <w:szCs w:val="24"/>
          <w:lang w:val="es-419"/>
        </w:rPr>
        <w:t>Reniz</w:t>
      </w:r>
      <w:proofErr w:type="spellEnd"/>
      <w:r w:rsidRPr="000741E8">
        <w:rPr>
          <w:rFonts w:ascii="Times New Roman" w:hAnsi="Times New Roman"/>
          <w:sz w:val="24"/>
          <w:szCs w:val="24"/>
          <w:lang w:val="es-419"/>
        </w:rPr>
        <w:t xml:space="preserve"> Caballero.</w:t>
      </w:r>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pStyle w:val="Ttulo1"/>
        <w:rPr>
          <w:rFonts w:cs="Times New Roman"/>
          <w:sz w:val="24"/>
          <w:szCs w:val="24"/>
        </w:rPr>
      </w:pPr>
      <w:bookmarkStart w:id="80" w:name="_Toc30823539"/>
      <w:r w:rsidRPr="000741E8">
        <w:rPr>
          <w:rFonts w:cs="Times New Roman"/>
          <w:sz w:val="24"/>
          <w:szCs w:val="24"/>
        </w:rPr>
        <w:t>NOTA 28. INGRESOS</w:t>
      </w:r>
      <w:bookmarkEnd w:id="80"/>
      <w:r w:rsidRPr="000741E8">
        <w:rPr>
          <w:rFonts w:cs="Times New Roman"/>
          <w:sz w:val="24"/>
          <w:szCs w:val="24"/>
        </w:rPr>
        <w:t xml:space="preserve"> </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81" w:name="_Toc30823540"/>
      <w:r w:rsidRPr="000741E8">
        <w:rPr>
          <w:rFonts w:cs="Times New Roman"/>
          <w:szCs w:val="24"/>
        </w:rPr>
        <w:t>Composición</w:t>
      </w:r>
      <w:bookmarkEnd w:id="81"/>
    </w:p>
    <w:p w:rsidR="0065290A" w:rsidRPr="000741E8" w:rsidRDefault="0065290A" w:rsidP="0065290A">
      <w:pPr>
        <w:rPr>
          <w:rFonts w:ascii="Times New Roman" w:hAnsi="Times New Roman"/>
          <w:sz w:val="24"/>
          <w:szCs w:val="24"/>
        </w:rPr>
      </w:pPr>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031A1D2B" wp14:editId="1BDDAC73">
            <wp:extent cx="5791835" cy="1297321"/>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91835" cy="1297321"/>
                    </a:xfrm>
                    <a:prstGeom prst="rect">
                      <a:avLst/>
                    </a:prstGeom>
                    <a:noFill/>
                    <a:ln>
                      <a:noFill/>
                    </a:ln>
                  </pic:spPr>
                </pic:pic>
              </a:graphicData>
            </a:graphic>
          </wp:inline>
        </w:drawing>
      </w: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rPr>
        <w:t>Representan los Ingresos ordinarios y extraordinarios de la Contraloría de Bogotá y cuyo saldo a 31 de diciembre de 201</w:t>
      </w:r>
      <w:r w:rsidRPr="000741E8">
        <w:rPr>
          <w:rFonts w:ascii="Times New Roman" w:hAnsi="Times New Roman"/>
          <w:color w:val="000000"/>
          <w:sz w:val="24"/>
          <w:szCs w:val="24"/>
          <w:lang w:val="es-419"/>
        </w:rPr>
        <w:t>9</w:t>
      </w:r>
      <w:r w:rsidRPr="000741E8">
        <w:rPr>
          <w:rFonts w:ascii="Times New Roman" w:hAnsi="Times New Roman"/>
          <w:color w:val="000000"/>
          <w:sz w:val="24"/>
          <w:szCs w:val="24"/>
        </w:rPr>
        <w:t xml:space="preserve"> e</w:t>
      </w:r>
      <w:r w:rsidRPr="000741E8">
        <w:rPr>
          <w:rFonts w:ascii="Times New Roman" w:hAnsi="Times New Roman"/>
          <w:color w:val="000000"/>
          <w:sz w:val="24"/>
          <w:szCs w:val="24"/>
          <w:lang w:val="es-419"/>
        </w:rPr>
        <w:t>s</w:t>
      </w:r>
      <w:r w:rsidRPr="000741E8">
        <w:rPr>
          <w:rFonts w:ascii="Times New Roman" w:hAnsi="Times New Roman"/>
          <w:color w:val="000000"/>
          <w:sz w:val="24"/>
          <w:szCs w:val="24"/>
        </w:rPr>
        <w:t xml:space="preserve"> de $</w:t>
      </w:r>
      <w:r w:rsidRPr="000741E8">
        <w:rPr>
          <w:rFonts w:ascii="Times New Roman" w:hAnsi="Times New Roman"/>
          <w:sz w:val="24"/>
          <w:szCs w:val="24"/>
        </w:rPr>
        <w:t xml:space="preserve"> 165.659.023.265.27 </w:t>
      </w:r>
      <w:r w:rsidRPr="000741E8">
        <w:rPr>
          <w:rFonts w:ascii="Times New Roman" w:hAnsi="Times New Roman"/>
          <w:color w:val="000000"/>
          <w:sz w:val="24"/>
          <w:szCs w:val="24"/>
        </w:rPr>
        <w:t xml:space="preserve">siendo la más representativa con un 98% la cuenta   4705 por valor de </w:t>
      </w:r>
      <w:r w:rsidRPr="000741E8">
        <w:rPr>
          <w:rFonts w:ascii="Times New Roman" w:hAnsi="Times New Roman"/>
          <w:color w:val="000000"/>
          <w:sz w:val="24"/>
          <w:szCs w:val="24"/>
          <w:lang w:val="es-419"/>
        </w:rPr>
        <w:t>$</w:t>
      </w:r>
      <w:r w:rsidRPr="000741E8">
        <w:rPr>
          <w:rFonts w:ascii="Times New Roman" w:hAnsi="Times New Roman"/>
          <w:color w:val="000000"/>
          <w:sz w:val="24"/>
          <w:szCs w:val="24"/>
        </w:rPr>
        <w:t xml:space="preserve">162.068.203.136.00   por concepto de Fondos Recibidos de la  Administración Central - Secretaria de Hacienda Distrital, para cubrir los compromisos adquiridos por la entidad durante la vigencia de  2019 y que afectaron los proyectos de inversión y los gastos de funcionamiento de la Entidad. </w:t>
      </w:r>
    </w:p>
    <w:p w:rsidR="0065290A" w:rsidRPr="000741E8" w:rsidRDefault="0065290A" w:rsidP="0065290A">
      <w:pPr>
        <w:jc w:val="both"/>
        <w:rPr>
          <w:rFonts w:ascii="Times New Roman" w:hAnsi="Times New Roman"/>
          <w:color w:val="000000"/>
          <w:sz w:val="24"/>
          <w:szCs w:val="24"/>
        </w:rPr>
      </w:pPr>
    </w:p>
    <w:p w:rsidR="0065290A" w:rsidRPr="000741E8" w:rsidRDefault="0065290A" w:rsidP="0065290A">
      <w:pPr>
        <w:pStyle w:val="Ttulo2"/>
        <w:numPr>
          <w:ilvl w:val="0"/>
          <w:numId w:val="0"/>
        </w:numPr>
        <w:rPr>
          <w:rFonts w:cs="Times New Roman"/>
          <w:szCs w:val="24"/>
          <w:lang w:val="es-419"/>
        </w:rPr>
      </w:pPr>
      <w:bookmarkStart w:id="82" w:name="_Toc30823541"/>
      <w:r w:rsidRPr="000741E8">
        <w:rPr>
          <w:rFonts w:cs="Times New Roman"/>
          <w:szCs w:val="24"/>
          <w:lang w:val="es-419"/>
        </w:rPr>
        <w:t>28.4. Otros ingresos</w:t>
      </w:r>
      <w:bookmarkEnd w:id="82"/>
      <w:r w:rsidRPr="000741E8">
        <w:rPr>
          <w:rFonts w:cs="Times New Roman"/>
          <w:szCs w:val="24"/>
          <w:lang w:val="es-419"/>
        </w:rPr>
        <w:t xml:space="preserve"> </w:t>
      </w:r>
    </w:p>
    <w:p w:rsidR="0065290A" w:rsidRPr="000741E8" w:rsidRDefault="0065290A" w:rsidP="0065290A">
      <w:pPr>
        <w:pStyle w:val="Ttulo2"/>
        <w:numPr>
          <w:ilvl w:val="0"/>
          <w:numId w:val="0"/>
        </w:numPr>
        <w:rPr>
          <w:rFonts w:cs="Times New Roman"/>
          <w:b w:val="0"/>
          <w:szCs w:val="24"/>
          <w:lang w:val="es-419"/>
        </w:rPr>
      </w:pPr>
      <w:bookmarkStart w:id="83" w:name="_Toc30823542"/>
      <w:r w:rsidRPr="000741E8">
        <w:rPr>
          <w:rFonts w:cs="Times New Roman"/>
          <w:b w:val="0"/>
          <w:szCs w:val="24"/>
          <w:lang w:val="es-419"/>
        </w:rPr>
        <w:t>Anexo 28.4</w:t>
      </w:r>
      <w:bookmarkEnd w:id="83"/>
    </w:p>
    <w:p w:rsidR="0065290A" w:rsidRPr="000741E8" w:rsidRDefault="0065290A" w:rsidP="0065290A">
      <w:pPr>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222D899B" wp14:editId="4804B0E9">
            <wp:extent cx="5791835" cy="2512563"/>
            <wp:effectExtent l="0" t="0" r="0" b="254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91835" cy="2512563"/>
                    </a:xfrm>
                    <a:prstGeom prst="rect">
                      <a:avLst/>
                    </a:prstGeom>
                    <a:noFill/>
                    <a:ln>
                      <a:noFill/>
                    </a:ln>
                  </pic:spPr>
                </pic:pic>
              </a:graphicData>
            </a:graphic>
          </wp:inline>
        </w:drawing>
      </w:r>
    </w:p>
    <w:p w:rsidR="0065290A" w:rsidRPr="000741E8" w:rsidRDefault="0065290A" w:rsidP="0065290A">
      <w:pPr>
        <w:jc w:val="both"/>
        <w:rPr>
          <w:rFonts w:ascii="Times New Roman" w:hAnsi="Times New Roman"/>
          <w:color w:val="000000"/>
          <w:sz w:val="24"/>
          <w:szCs w:val="24"/>
        </w:rPr>
      </w:pPr>
      <w:r w:rsidRPr="000741E8">
        <w:rPr>
          <w:rFonts w:ascii="Times New Roman" w:hAnsi="Times New Roman"/>
          <w:color w:val="000000"/>
          <w:sz w:val="24"/>
          <w:szCs w:val="24"/>
          <w:lang w:val="es-419"/>
        </w:rPr>
        <w:lastRenderedPageBreak/>
        <w:t xml:space="preserve">En la cuenta 4 se registran los ingresos de la Contraloría de Bogotá, </w:t>
      </w:r>
      <w:r w:rsidRPr="000741E8">
        <w:rPr>
          <w:rFonts w:ascii="Times New Roman" w:hAnsi="Times New Roman"/>
          <w:color w:val="000000"/>
          <w:sz w:val="24"/>
          <w:szCs w:val="24"/>
        </w:rPr>
        <w:t>a 31 de diciembre de 201</w:t>
      </w:r>
      <w:r w:rsidRPr="000741E8">
        <w:rPr>
          <w:rFonts w:ascii="Times New Roman" w:hAnsi="Times New Roman"/>
          <w:color w:val="000000"/>
          <w:sz w:val="24"/>
          <w:szCs w:val="24"/>
          <w:lang w:val="es-419"/>
        </w:rPr>
        <w:t>9</w:t>
      </w:r>
      <w:r w:rsidRPr="000741E8">
        <w:rPr>
          <w:rFonts w:ascii="Times New Roman" w:hAnsi="Times New Roman"/>
          <w:color w:val="000000"/>
          <w:sz w:val="24"/>
          <w:szCs w:val="24"/>
        </w:rPr>
        <w:t xml:space="preserve"> </w:t>
      </w:r>
      <w:r w:rsidRPr="000741E8">
        <w:rPr>
          <w:rFonts w:ascii="Times New Roman" w:hAnsi="Times New Roman"/>
          <w:color w:val="000000"/>
          <w:sz w:val="24"/>
          <w:szCs w:val="24"/>
          <w:lang w:val="es-419"/>
        </w:rPr>
        <w:t xml:space="preserve">su saldo es de </w:t>
      </w:r>
      <w:r w:rsidRPr="000741E8">
        <w:rPr>
          <w:rFonts w:ascii="Times New Roman" w:hAnsi="Times New Roman"/>
          <w:color w:val="000000"/>
          <w:sz w:val="24"/>
          <w:szCs w:val="24"/>
        </w:rPr>
        <w:t>$1</w:t>
      </w:r>
      <w:r w:rsidRPr="000741E8">
        <w:rPr>
          <w:rFonts w:ascii="Times New Roman" w:hAnsi="Times New Roman"/>
          <w:color w:val="000000"/>
          <w:sz w:val="24"/>
          <w:szCs w:val="24"/>
          <w:lang w:val="es-419"/>
        </w:rPr>
        <w:t>6</w:t>
      </w:r>
      <w:r w:rsidRPr="000741E8">
        <w:rPr>
          <w:rFonts w:ascii="Times New Roman" w:hAnsi="Times New Roman"/>
          <w:color w:val="000000"/>
          <w:sz w:val="24"/>
          <w:szCs w:val="24"/>
        </w:rPr>
        <w:t>5</w:t>
      </w:r>
      <w:r w:rsidRPr="000741E8">
        <w:rPr>
          <w:rFonts w:ascii="Times New Roman" w:hAnsi="Times New Roman"/>
          <w:color w:val="000000"/>
          <w:sz w:val="24"/>
          <w:szCs w:val="24"/>
          <w:lang w:val="es-419"/>
        </w:rPr>
        <w:t xml:space="preserve">.659.023.265.27, </w:t>
      </w:r>
      <w:r w:rsidRPr="000741E8">
        <w:rPr>
          <w:rFonts w:ascii="Times New Roman" w:hAnsi="Times New Roman"/>
          <w:color w:val="000000"/>
          <w:sz w:val="24"/>
          <w:szCs w:val="24"/>
        </w:rPr>
        <w:t xml:space="preserve">siendo la </w:t>
      </w:r>
      <w:r w:rsidRPr="000741E8">
        <w:rPr>
          <w:rFonts w:ascii="Times New Roman" w:hAnsi="Times New Roman"/>
          <w:color w:val="000000"/>
          <w:sz w:val="24"/>
          <w:szCs w:val="24"/>
          <w:lang w:val="es-419"/>
        </w:rPr>
        <w:t xml:space="preserve">subcuenta mas </w:t>
      </w:r>
      <w:r w:rsidRPr="000741E8">
        <w:rPr>
          <w:rFonts w:ascii="Times New Roman" w:hAnsi="Times New Roman"/>
          <w:color w:val="000000"/>
          <w:sz w:val="24"/>
          <w:szCs w:val="24"/>
        </w:rPr>
        <w:t>representativa la 470500 por concepto de Fondos Recibidos de la Administración Central - Secretaria de Hacienda Distrital, en cuantía de $162.068.203.136, para atender todos los compromisos adquiridos por la entidad durante la vigencia 201</w:t>
      </w:r>
      <w:r w:rsidRPr="000741E8">
        <w:rPr>
          <w:rFonts w:ascii="Times New Roman" w:hAnsi="Times New Roman"/>
          <w:color w:val="000000"/>
          <w:sz w:val="24"/>
          <w:szCs w:val="24"/>
          <w:lang w:val="es-419"/>
        </w:rPr>
        <w:t>9</w:t>
      </w:r>
      <w:r w:rsidRPr="000741E8">
        <w:rPr>
          <w:rFonts w:ascii="Times New Roman" w:hAnsi="Times New Roman"/>
          <w:color w:val="000000"/>
          <w:sz w:val="24"/>
          <w:szCs w:val="24"/>
        </w:rPr>
        <w:t xml:space="preserve"> y que afectaron los proyectos de inversión y los gastos de funcionamiento de la Entidad.  </w:t>
      </w:r>
    </w:p>
    <w:p w:rsidR="0065290A" w:rsidRPr="000741E8" w:rsidRDefault="0065290A" w:rsidP="0065290A">
      <w:pPr>
        <w:jc w:val="both"/>
        <w:rPr>
          <w:rFonts w:ascii="Times New Roman" w:hAnsi="Times New Roman"/>
          <w:sz w:val="24"/>
          <w:szCs w:val="24"/>
        </w:rPr>
      </w:pPr>
      <w:r w:rsidRPr="000741E8">
        <w:rPr>
          <w:rFonts w:ascii="Times New Roman" w:hAnsi="Times New Roman"/>
          <w:color w:val="000000"/>
          <w:sz w:val="24"/>
          <w:szCs w:val="24"/>
        </w:rPr>
        <w:t>También es importante señalar que de los ingresos recibidos la suma de $1.</w:t>
      </w:r>
      <w:r w:rsidRPr="000741E8">
        <w:rPr>
          <w:rFonts w:ascii="Times New Roman" w:hAnsi="Times New Roman"/>
          <w:color w:val="000000"/>
          <w:sz w:val="24"/>
          <w:szCs w:val="24"/>
          <w:lang w:val="es-419"/>
        </w:rPr>
        <w:t>069.684.520</w:t>
      </w:r>
      <w:r w:rsidRPr="000741E8">
        <w:rPr>
          <w:rFonts w:ascii="Times New Roman" w:hAnsi="Times New Roman"/>
          <w:color w:val="000000"/>
          <w:sz w:val="24"/>
          <w:szCs w:val="24"/>
        </w:rPr>
        <w:t xml:space="preserve"> corresponden a ingresos con contraprestación producto del contrato de arrendamiento No.81 de 2014 </w:t>
      </w:r>
      <w:r w:rsidRPr="000741E8">
        <w:rPr>
          <w:rFonts w:ascii="Times New Roman" w:hAnsi="Times New Roman"/>
          <w:color w:val="000000"/>
          <w:sz w:val="24"/>
          <w:szCs w:val="24"/>
          <w:lang w:val="es-419"/>
        </w:rPr>
        <w:t>renovado hasta el  27 de dic</w:t>
      </w:r>
      <w:proofErr w:type="spellStart"/>
      <w:r w:rsidRPr="000741E8">
        <w:rPr>
          <w:rFonts w:ascii="Times New Roman" w:hAnsi="Times New Roman"/>
          <w:color w:val="000000"/>
          <w:sz w:val="24"/>
          <w:szCs w:val="24"/>
        </w:rPr>
        <w:t>iembre</w:t>
      </w:r>
      <w:proofErr w:type="spellEnd"/>
      <w:r w:rsidRPr="000741E8">
        <w:rPr>
          <w:rFonts w:ascii="Times New Roman" w:hAnsi="Times New Roman"/>
          <w:color w:val="000000"/>
          <w:sz w:val="24"/>
          <w:szCs w:val="24"/>
        </w:rPr>
        <w:t xml:space="preserve"> de 20</w:t>
      </w:r>
      <w:r w:rsidRPr="000741E8">
        <w:rPr>
          <w:rFonts w:ascii="Times New Roman" w:hAnsi="Times New Roman"/>
          <w:color w:val="000000"/>
          <w:sz w:val="24"/>
          <w:szCs w:val="24"/>
          <w:lang w:val="es-419"/>
        </w:rPr>
        <w:t>2</w:t>
      </w:r>
      <w:r w:rsidRPr="000741E8">
        <w:rPr>
          <w:rFonts w:ascii="Times New Roman" w:hAnsi="Times New Roman"/>
          <w:color w:val="000000"/>
          <w:sz w:val="24"/>
          <w:szCs w:val="24"/>
        </w:rPr>
        <w:t>1 suscrito con el Banco Agrario de Colombia, por los pisos 33 al 37 y 13 parqueaderos del Edificio Avianca, dicho arrendamiento está a precios de mercado.</w:t>
      </w: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1"/>
        <w:rPr>
          <w:rFonts w:cs="Times New Roman"/>
          <w:sz w:val="24"/>
          <w:szCs w:val="24"/>
        </w:rPr>
      </w:pPr>
      <w:bookmarkStart w:id="84" w:name="_Toc30823543"/>
      <w:r w:rsidRPr="000741E8">
        <w:rPr>
          <w:rFonts w:cs="Times New Roman"/>
          <w:sz w:val="24"/>
          <w:szCs w:val="24"/>
        </w:rPr>
        <w:t>NOTA 29. GASTOS</w:t>
      </w:r>
      <w:bookmarkEnd w:id="84"/>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rPr>
      </w:pPr>
      <w:bookmarkStart w:id="85" w:name="_Toc30823544"/>
      <w:r w:rsidRPr="000741E8">
        <w:rPr>
          <w:rFonts w:cs="Times New Roman"/>
          <w:szCs w:val="24"/>
        </w:rPr>
        <w:t>Composición</w:t>
      </w:r>
      <w:bookmarkEnd w:id="85"/>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r w:rsidRPr="000741E8">
        <w:rPr>
          <w:rFonts w:ascii="Times New Roman" w:hAnsi="Times New Roman"/>
          <w:noProof/>
          <w:sz w:val="24"/>
          <w:szCs w:val="24"/>
          <w:lang w:eastAsia="es-CO"/>
        </w:rPr>
        <w:drawing>
          <wp:inline distT="0" distB="0" distL="0" distR="0" wp14:anchorId="7703BDEC" wp14:editId="6599FA6C">
            <wp:extent cx="5612130" cy="1306230"/>
            <wp:effectExtent l="0" t="0" r="7620" b="825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2130" cy="1306230"/>
                    </a:xfrm>
                    <a:prstGeom prst="rect">
                      <a:avLst/>
                    </a:prstGeom>
                    <a:noFill/>
                    <a:ln>
                      <a:noFill/>
                    </a:ln>
                  </pic:spPr>
                </pic:pic>
              </a:graphicData>
            </a:graphic>
          </wp:inline>
        </w:drawing>
      </w:r>
    </w:p>
    <w:p w:rsidR="0065290A" w:rsidRDefault="0065290A" w:rsidP="0065290A">
      <w:pPr>
        <w:spacing w:after="0" w:line="240" w:lineRule="auto"/>
        <w:jc w:val="both"/>
        <w:rPr>
          <w:rFonts w:ascii="Times New Roman" w:hAnsi="Times New Roman"/>
          <w:b/>
          <w:sz w:val="24"/>
          <w:szCs w:val="24"/>
        </w:rPr>
      </w:pPr>
    </w:p>
    <w:p w:rsidR="0065290A" w:rsidRPr="00B82C39" w:rsidRDefault="0065290A" w:rsidP="0065290A">
      <w:pPr>
        <w:jc w:val="both"/>
        <w:rPr>
          <w:rFonts w:ascii="Times New Roman" w:hAnsi="Times New Roman"/>
          <w:color w:val="000000"/>
          <w:sz w:val="24"/>
        </w:rPr>
      </w:pPr>
      <w:r w:rsidRPr="00B82C39">
        <w:rPr>
          <w:rFonts w:ascii="Times New Roman" w:hAnsi="Times New Roman"/>
          <w:color w:val="000000"/>
          <w:sz w:val="24"/>
        </w:rPr>
        <w:t xml:space="preserve">Los Gastos de la vigencia 2019 aumentaron en un 10.89%, principalmente por </w:t>
      </w:r>
      <w:r w:rsidRPr="00B82C39">
        <w:rPr>
          <w:rFonts w:ascii="Times New Roman" w:hAnsi="Times New Roman"/>
          <w:color w:val="000000"/>
          <w:sz w:val="24"/>
          <w:lang w:val="es-419"/>
        </w:rPr>
        <w:t>e</w:t>
      </w:r>
      <w:r w:rsidRPr="00B82C39">
        <w:rPr>
          <w:rFonts w:ascii="Times New Roman" w:hAnsi="Times New Roman"/>
          <w:color w:val="000000"/>
          <w:sz w:val="24"/>
        </w:rPr>
        <w:t>l</w:t>
      </w:r>
      <w:r w:rsidRPr="00B82C39">
        <w:rPr>
          <w:rFonts w:ascii="Times New Roman" w:hAnsi="Times New Roman"/>
          <w:color w:val="000000"/>
          <w:sz w:val="24"/>
          <w:lang w:val="es-419"/>
        </w:rPr>
        <w:t xml:space="preserve"> ingreso de </w:t>
      </w:r>
      <w:r w:rsidRPr="00B82C39">
        <w:rPr>
          <w:rFonts w:ascii="Times New Roman" w:hAnsi="Times New Roman"/>
          <w:color w:val="000000"/>
          <w:sz w:val="24"/>
        </w:rPr>
        <w:t xml:space="preserve">27 funcionarios y </w:t>
      </w:r>
      <w:r w:rsidRPr="00B82C39">
        <w:rPr>
          <w:rFonts w:ascii="Times New Roman" w:hAnsi="Times New Roman"/>
          <w:color w:val="000000"/>
          <w:sz w:val="24"/>
          <w:lang w:val="es-419"/>
        </w:rPr>
        <w:t>el incremento de nómina aprobado por el Distrito afectando los gastos de nómina de empleados de la Contraloría de Bogotá.</w:t>
      </w:r>
    </w:p>
    <w:p w:rsidR="0065290A" w:rsidRDefault="0065290A" w:rsidP="0065290A">
      <w:pPr>
        <w:spacing w:after="0" w:line="240" w:lineRule="auto"/>
        <w:jc w:val="both"/>
        <w:rPr>
          <w:rFonts w:ascii="Times New Roman" w:hAnsi="Times New Roman"/>
          <w:b/>
          <w:sz w:val="24"/>
          <w:szCs w:val="24"/>
        </w:rPr>
      </w:pPr>
    </w:p>
    <w:p w:rsidR="0065290A" w:rsidRPr="000741E8" w:rsidRDefault="0065290A" w:rsidP="0065290A">
      <w:pPr>
        <w:spacing w:after="0" w:line="240" w:lineRule="auto"/>
        <w:jc w:val="both"/>
        <w:rPr>
          <w:rFonts w:ascii="Times New Roman" w:hAnsi="Times New Roman"/>
          <w:b/>
          <w:sz w:val="24"/>
          <w:szCs w:val="24"/>
        </w:rPr>
      </w:pPr>
    </w:p>
    <w:p w:rsidR="0065290A" w:rsidRPr="000741E8" w:rsidRDefault="0065290A" w:rsidP="0065290A">
      <w:pPr>
        <w:pStyle w:val="Ttulo2"/>
        <w:numPr>
          <w:ilvl w:val="0"/>
          <w:numId w:val="0"/>
        </w:numPr>
        <w:rPr>
          <w:rFonts w:cs="Times New Roman"/>
          <w:szCs w:val="24"/>
          <w:lang w:val="es-419"/>
        </w:rPr>
      </w:pPr>
      <w:bookmarkStart w:id="86" w:name="_Toc30823545"/>
      <w:r w:rsidRPr="000741E8">
        <w:rPr>
          <w:rFonts w:cs="Times New Roman"/>
          <w:szCs w:val="24"/>
          <w:lang w:val="es-419"/>
        </w:rPr>
        <w:t>29.1. Gastos de administración, de operación y de ventas</w:t>
      </w:r>
      <w:bookmarkEnd w:id="86"/>
    </w:p>
    <w:p w:rsidR="0065290A" w:rsidRPr="000741E8" w:rsidRDefault="0065290A" w:rsidP="0065290A">
      <w:pPr>
        <w:spacing w:after="0" w:line="240" w:lineRule="auto"/>
        <w:jc w:val="both"/>
        <w:rPr>
          <w:rFonts w:ascii="Times New Roman" w:hAnsi="Times New Roman"/>
          <w:b/>
          <w:sz w:val="24"/>
          <w:szCs w:val="24"/>
          <w:lang w:val="es-419"/>
        </w:rPr>
      </w:pPr>
    </w:p>
    <w:p w:rsidR="0065290A" w:rsidRPr="000741E8" w:rsidRDefault="0065290A" w:rsidP="0065290A">
      <w:pPr>
        <w:pStyle w:val="Ttulo3"/>
        <w:rPr>
          <w:rFonts w:cs="Times New Roman"/>
          <w:lang w:val="es-419"/>
        </w:rPr>
      </w:pPr>
      <w:bookmarkStart w:id="87" w:name="_Toc30823546"/>
      <w:r w:rsidRPr="000741E8">
        <w:rPr>
          <w:rFonts w:cs="Times New Roman"/>
          <w:lang w:val="es-419"/>
        </w:rPr>
        <w:t>Anexo 29.1</w:t>
      </w:r>
      <w:bookmarkEnd w:id="87"/>
    </w:p>
    <w:p w:rsidR="0065290A" w:rsidRPr="000741E8" w:rsidRDefault="0065290A" w:rsidP="0065290A">
      <w:pPr>
        <w:spacing w:after="0" w:line="240" w:lineRule="auto"/>
        <w:jc w:val="both"/>
        <w:rPr>
          <w:rFonts w:ascii="Times New Roman" w:hAnsi="Times New Roman"/>
          <w:b/>
          <w:sz w:val="24"/>
          <w:szCs w:val="24"/>
          <w:lang w:val="es-419"/>
        </w:rPr>
      </w:pPr>
      <w:r w:rsidRPr="000741E8">
        <w:rPr>
          <w:rFonts w:ascii="Times New Roman" w:hAnsi="Times New Roman"/>
          <w:noProof/>
          <w:sz w:val="24"/>
          <w:szCs w:val="24"/>
          <w:lang w:eastAsia="es-CO"/>
        </w:rPr>
        <w:drawing>
          <wp:inline distT="0" distB="0" distL="0" distR="0" wp14:anchorId="5F28EC75" wp14:editId="40041B92">
            <wp:extent cx="5611790" cy="1555690"/>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9">
                      <a:extLst>
                        <a:ext uri="{28A0092B-C50C-407E-A947-70E740481C1C}">
                          <a14:useLocalDpi xmlns:a14="http://schemas.microsoft.com/office/drawing/2010/main" val="0"/>
                        </a:ext>
                      </a:extLst>
                    </a:blip>
                    <a:srcRect t="7690" b="1"/>
                    <a:stretch/>
                  </pic:blipFill>
                  <pic:spPr bwMode="auto">
                    <a:xfrm>
                      <a:off x="0" y="0"/>
                      <a:ext cx="5612130" cy="1555784"/>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Pr="000741E8" w:rsidRDefault="0065290A" w:rsidP="0065290A">
      <w:pPr>
        <w:pStyle w:val="Prrafodelista"/>
        <w:spacing w:after="0" w:line="240" w:lineRule="auto"/>
        <w:ind w:left="360"/>
        <w:jc w:val="both"/>
        <w:rPr>
          <w:rFonts w:ascii="Times New Roman" w:hAnsi="Times New Roman"/>
          <w:sz w:val="24"/>
          <w:szCs w:val="24"/>
        </w:rPr>
      </w:pPr>
    </w:p>
    <w:p w:rsidR="0065290A" w:rsidRPr="000741E8" w:rsidRDefault="0065290A" w:rsidP="0065290A">
      <w:pPr>
        <w:pStyle w:val="Ttulo2"/>
        <w:numPr>
          <w:ilvl w:val="0"/>
          <w:numId w:val="0"/>
        </w:numPr>
        <w:rPr>
          <w:rFonts w:cs="Times New Roman"/>
          <w:szCs w:val="24"/>
          <w:lang w:val="es-419"/>
        </w:rPr>
      </w:pPr>
      <w:bookmarkStart w:id="88" w:name="_Toc30823547"/>
      <w:r w:rsidRPr="000741E8">
        <w:rPr>
          <w:rFonts w:cs="Times New Roman"/>
          <w:szCs w:val="24"/>
          <w:lang w:val="es-419"/>
        </w:rPr>
        <w:t>29.2. Deterioro, depreciaciones, amortizaciones y provisiones</w:t>
      </w:r>
      <w:bookmarkEnd w:id="88"/>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89" w:name="_Toc30823548"/>
      <w:r w:rsidRPr="000741E8">
        <w:rPr>
          <w:rFonts w:cs="Times New Roman"/>
          <w:lang w:val="es-419"/>
        </w:rPr>
        <w:t>Anexo 29.2</w:t>
      </w:r>
      <w:bookmarkEnd w:id="89"/>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78A28C6C" wp14:editId="0EF20A04">
            <wp:extent cx="5791835" cy="3371215"/>
            <wp:effectExtent l="0" t="0" r="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91835" cy="3371215"/>
                    </a:xfrm>
                    <a:prstGeom prst="rect">
                      <a:avLst/>
                    </a:prstGeom>
                    <a:noFill/>
                  </pic:spPr>
                </pic:pic>
              </a:graphicData>
            </a:graphic>
          </wp:inline>
        </w:drawing>
      </w:r>
    </w:p>
    <w:p w:rsidR="0065290A" w:rsidRPr="000741E8" w:rsidRDefault="0065290A" w:rsidP="0065290A">
      <w:pPr>
        <w:pStyle w:val="Ttulo3"/>
        <w:ind w:firstLine="708"/>
        <w:rPr>
          <w:rFonts w:cs="Times New Roman"/>
          <w:lang w:val="es-419"/>
        </w:rPr>
      </w:pPr>
    </w:p>
    <w:p w:rsidR="0065290A" w:rsidRPr="000741E8" w:rsidRDefault="0065290A" w:rsidP="0065290A">
      <w:pPr>
        <w:pStyle w:val="Ttulo3"/>
        <w:rPr>
          <w:rFonts w:cs="Times New Roman"/>
          <w:b w:val="0"/>
          <w:lang w:val="es-419"/>
        </w:rPr>
      </w:pPr>
      <w:bookmarkStart w:id="90" w:name="_Toc30823549"/>
      <w:r w:rsidRPr="000741E8">
        <w:rPr>
          <w:rFonts w:cs="Times New Roman"/>
          <w:b w:val="0"/>
          <w:lang w:val="es-419"/>
        </w:rPr>
        <w:t>Anexo 29.2.1</w:t>
      </w:r>
      <w:bookmarkEnd w:id="90"/>
    </w:p>
    <w:p w:rsidR="0065290A" w:rsidRPr="000741E8" w:rsidRDefault="0065290A" w:rsidP="0065290A">
      <w:pPr>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7676FBD0" wp14:editId="4DA75BE3">
            <wp:extent cx="5612088" cy="2409140"/>
            <wp:effectExtent l="0" t="0" r="8255"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51">
                      <a:extLst>
                        <a:ext uri="{28A0092B-C50C-407E-A947-70E740481C1C}">
                          <a14:useLocalDpi xmlns:a14="http://schemas.microsoft.com/office/drawing/2010/main" val="0"/>
                        </a:ext>
                      </a:extLst>
                    </a:blip>
                    <a:srcRect t="4290"/>
                    <a:stretch/>
                  </pic:blipFill>
                  <pic:spPr bwMode="auto">
                    <a:xfrm>
                      <a:off x="0" y="0"/>
                      <a:ext cx="5612130" cy="2409158"/>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Default="0065290A" w:rsidP="0065290A">
      <w:pPr>
        <w:spacing w:after="0" w:line="240" w:lineRule="auto"/>
        <w:jc w:val="both"/>
        <w:rPr>
          <w:rFonts w:ascii="Times New Roman" w:hAnsi="Times New Roman"/>
          <w:sz w:val="24"/>
          <w:szCs w:val="24"/>
          <w:lang w:val="es-419"/>
        </w:rPr>
      </w:pPr>
    </w:p>
    <w:p w:rsidR="0065290A"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2"/>
        <w:numPr>
          <w:ilvl w:val="0"/>
          <w:numId w:val="0"/>
        </w:numPr>
        <w:rPr>
          <w:rFonts w:cs="Times New Roman"/>
          <w:szCs w:val="24"/>
          <w:lang w:val="es-419"/>
        </w:rPr>
      </w:pPr>
      <w:bookmarkStart w:id="91" w:name="_Toc30823550"/>
      <w:r w:rsidRPr="000741E8">
        <w:rPr>
          <w:rFonts w:cs="Times New Roman"/>
          <w:szCs w:val="24"/>
          <w:lang w:val="es-419"/>
        </w:rPr>
        <w:lastRenderedPageBreak/>
        <w:t>29.6 Operaciones institucionales</w:t>
      </w:r>
      <w:bookmarkEnd w:id="91"/>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rPr>
          <w:rFonts w:cs="Times New Roman"/>
          <w:lang w:val="es-419"/>
        </w:rPr>
      </w:pPr>
      <w:bookmarkStart w:id="92" w:name="_Toc30823551"/>
      <w:r w:rsidRPr="000741E8">
        <w:rPr>
          <w:rFonts w:cs="Times New Roman"/>
          <w:lang w:val="es-419"/>
        </w:rPr>
        <w:t>Anexo 29.6</w:t>
      </w:r>
      <w:bookmarkEnd w:id="92"/>
    </w:p>
    <w:p w:rsidR="0065290A" w:rsidRPr="000741E8" w:rsidRDefault="0065290A" w:rsidP="0065290A">
      <w:pPr>
        <w:spacing w:after="0" w:line="240" w:lineRule="auto"/>
        <w:jc w:val="both"/>
        <w:rPr>
          <w:rFonts w:ascii="Times New Roman" w:hAnsi="Times New Roman"/>
          <w:sz w:val="24"/>
          <w:szCs w:val="24"/>
          <w:lang w:val="es-419"/>
        </w:rPr>
      </w:pPr>
      <w:r w:rsidRPr="000741E8">
        <w:rPr>
          <w:rFonts w:ascii="Times New Roman" w:hAnsi="Times New Roman"/>
          <w:noProof/>
          <w:sz w:val="24"/>
          <w:szCs w:val="24"/>
          <w:lang w:eastAsia="es-CO"/>
        </w:rPr>
        <w:drawing>
          <wp:inline distT="0" distB="0" distL="0" distR="0" wp14:anchorId="287D0116" wp14:editId="5E9F78DD">
            <wp:extent cx="5614670" cy="1015725"/>
            <wp:effectExtent l="0" t="0" r="508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2">
                      <a:extLst>
                        <a:ext uri="{28A0092B-C50C-407E-A947-70E740481C1C}">
                          <a14:useLocalDpi xmlns:a14="http://schemas.microsoft.com/office/drawing/2010/main" val="0"/>
                        </a:ext>
                      </a:extLst>
                    </a:blip>
                    <a:srcRect t="11869"/>
                    <a:stretch/>
                  </pic:blipFill>
                  <pic:spPr bwMode="auto">
                    <a:xfrm>
                      <a:off x="0" y="0"/>
                      <a:ext cx="5614670" cy="1015725"/>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Default="0065290A" w:rsidP="0065290A">
      <w:pPr>
        <w:spacing w:after="0" w:line="240" w:lineRule="auto"/>
        <w:jc w:val="both"/>
        <w:rPr>
          <w:rFonts w:ascii="Times New Roman" w:hAnsi="Times New Roman"/>
          <w:sz w:val="24"/>
          <w:szCs w:val="24"/>
          <w:lang w:val="es-419"/>
        </w:rPr>
      </w:pPr>
    </w:p>
    <w:p w:rsidR="0065290A" w:rsidRDefault="0065290A" w:rsidP="0065290A">
      <w:pPr>
        <w:spacing w:after="0" w:line="240" w:lineRule="auto"/>
        <w:jc w:val="both"/>
        <w:rPr>
          <w:rFonts w:ascii="Times New Roman" w:hAnsi="Times New Roman"/>
          <w:sz w:val="24"/>
          <w:szCs w:val="24"/>
          <w:lang w:val="es-419"/>
        </w:rPr>
      </w:pPr>
      <w:r>
        <w:rPr>
          <w:rFonts w:ascii="Times New Roman" w:hAnsi="Times New Roman"/>
          <w:sz w:val="24"/>
          <w:szCs w:val="24"/>
          <w:lang w:val="es-419"/>
        </w:rPr>
        <w:t>El saldo corresponde a la devolución de reintegros de incapacidades de vigencias anteriores, a la Secretaría Distrital de Hacienda.</w:t>
      </w:r>
    </w:p>
    <w:p w:rsidR="0065290A" w:rsidRDefault="0065290A" w:rsidP="0065290A">
      <w:pPr>
        <w:spacing w:after="0" w:line="240" w:lineRule="auto"/>
        <w:jc w:val="both"/>
        <w:rPr>
          <w:rFonts w:ascii="Times New Roman" w:hAnsi="Times New Roman"/>
          <w:sz w:val="24"/>
          <w:szCs w:val="24"/>
          <w:lang w:val="es-419"/>
        </w:rPr>
      </w:pPr>
    </w:p>
    <w:p w:rsidR="0065290A"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2"/>
        <w:numPr>
          <w:ilvl w:val="0"/>
          <w:numId w:val="0"/>
        </w:numPr>
        <w:rPr>
          <w:rFonts w:cs="Times New Roman"/>
          <w:szCs w:val="24"/>
          <w:lang w:val="es-419"/>
        </w:rPr>
      </w:pPr>
      <w:bookmarkStart w:id="93" w:name="_Toc30823552"/>
      <w:r w:rsidRPr="000741E8">
        <w:rPr>
          <w:rFonts w:cs="Times New Roman"/>
          <w:szCs w:val="24"/>
          <w:lang w:val="es-419"/>
        </w:rPr>
        <w:t>29.7 Otros gastos</w:t>
      </w:r>
      <w:bookmarkEnd w:id="93"/>
      <w:r w:rsidRPr="000741E8">
        <w:rPr>
          <w:rFonts w:cs="Times New Roman"/>
          <w:szCs w:val="24"/>
          <w:lang w:val="es-419"/>
        </w:rPr>
        <w:t xml:space="preserve"> </w:t>
      </w:r>
    </w:p>
    <w:p w:rsidR="0065290A" w:rsidRPr="000741E8" w:rsidRDefault="0065290A" w:rsidP="0065290A">
      <w:pPr>
        <w:spacing w:after="0" w:line="240" w:lineRule="auto"/>
        <w:jc w:val="both"/>
        <w:rPr>
          <w:rFonts w:ascii="Times New Roman" w:hAnsi="Times New Roman"/>
          <w:sz w:val="24"/>
          <w:szCs w:val="24"/>
          <w:lang w:val="es-419"/>
        </w:rPr>
      </w:pPr>
    </w:p>
    <w:p w:rsidR="0065290A" w:rsidRPr="000741E8" w:rsidRDefault="0065290A" w:rsidP="0065290A">
      <w:pPr>
        <w:pStyle w:val="Ttulo3"/>
        <w:rPr>
          <w:rFonts w:cs="Times New Roman"/>
        </w:rPr>
      </w:pPr>
      <w:bookmarkStart w:id="94" w:name="_Toc30823553"/>
      <w:r w:rsidRPr="000741E8">
        <w:rPr>
          <w:rFonts w:cs="Times New Roman"/>
          <w:b w:val="0"/>
          <w:lang w:val="es-419"/>
        </w:rPr>
        <w:t>Anexo 29.7</w:t>
      </w:r>
      <w:bookmarkEnd w:id="94"/>
    </w:p>
    <w:p w:rsidR="0065290A" w:rsidRPr="000741E8" w:rsidRDefault="0065290A" w:rsidP="0065290A">
      <w:pPr>
        <w:spacing w:after="0" w:line="240" w:lineRule="auto"/>
        <w:jc w:val="both"/>
        <w:rPr>
          <w:rFonts w:ascii="Times New Roman" w:hAnsi="Times New Roman"/>
          <w:sz w:val="24"/>
          <w:szCs w:val="24"/>
        </w:rPr>
      </w:pPr>
      <w:r w:rsidRPr="000741E8">
        <w:rPr>
          <w:rFonts w:ascii="Times New Roman" w:hAnsi="Times New Roman"/>
          <w:noProof/>
          <w:sz w:val="24"/>
          <w:szCs w:val="24"/>
          <w:lang w:eastAsia="es-CO"/>
        </w:rPr>
        <w:drawing>
          <wp:inline distT="0" distB="0" distL="0" distR="0" wp14:anchorId="26ECA841" wp14:editId="5FFF83A7">
            <wp:extent cx="5610831" cy="236722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53">
                      <a:extLst>
                        <a:ext uri="{28A0092B-C50C-407E-A947-70E740481C1C}">
                          <a14:useLocalDpi xmlns:a14="http://schemas.microsoft.com/office/drawing/2010/main" val="0"/>
                        </a:ext>
                      </a:extLst>
                    </a:blip>
                    <a:srcRect t="5190"/>
                    <a:stretch/>
                  </pic:blipFill>
                  <pic:spPr bwMode="auto">
                    <a:xfrm>
                      <a:off x="0" y="0"/>
                      <a:ext cx="5612130" cy="2367768"/>
                    </a:xfrm>
                    <a:prstGeom prst="rect">
                      <a:avLst/>
                    </a:prstGeom>
                    <a:noFill/>
                    <a:ln>
                      <a:noFill/>
                    </a:ln>
                    <a:extLst>
                      <a:ext uri="{53640926-AAD7-44D8-BBD7-CCE9431645EC}">
                        <a14:shadowObscured xmlns:a14="http://schemas.microsoft.com/office/drawing/2010/main"/>
                      </a:ext>
                    </a:extLst>
                  </pic:spPr>
                </pic:pic>
              </a:graphicData>
            </a:graphic>
          </wp:inline>
        </w:drawing>
      </w:r>
    </w:p>
    <w:p w:rsidR="0065290A" w:rsidRDefault="0065290A" w:rsidP="0065290A">
      <w:pPr>
        <w:pStyle w:val="Prrafodelista"/>
        <w:spacing w:after="0" w:line="240" w:lineRule="auto"/>
        <w:ind w:left="360"/>
        <w:jc w:val="both"/>
        <w:rPr>
          <w:rFonts w:ascii="Times New Roman" w:hAnsi="Times New Roman"/>
          <w:sz w:val="24"/>
          <w:szCs w:val="24"/>
        </w:rPr>
      </w:pPr>
    </w:p>
    <w:p w:rsidR="0065290A" w:rsidRPr="00F318FC" w:rsidRDefault="0065290A" w:rsidP="0065290A">
      <w:pPr>
        <w:pStyle w:val="Prrafodelista"/>
        <w:spacing w:after="0" w:line="240" w:lineRule="auto"/>
        <w:ind w:left="360"/>
        <w:jc w:val="both"/>
        <w:rPr>
          <w:rFonts w:ascii="Times New Roman" w:hAnsi="Times New Roman"/>
          <w:sz w:val="24"/>
          <w:szCs w:val="24"/>
          <w:lang w:val="es-419"/>
        </w:rPr>
      </w:pPr>
      <w:r>
        <w:rPr>
          <w:rFonts w:ascii="Times New Roman" w:hAnsi="Times New Roman"/>
          <w:sz w:val="24"/>
          <w:szCs w:val="24"/>
          <w:lang w:val="es-419"/>
        </w:rPr>
        <w:t xml:space="preserve">El saldo de la cuenta de Gastos Diversos tuvo un incremento de $3.550.349.594, debido al </w:t>
      </w:r>
      <w:r w:rsidRPr="00F318FC">
        <w:rPr>
          <w:rFonts w:ascii="Times New Roman" w:hAnsi="Times New Roman"/>
          <w:sz w:val="24"/>
          <w:szCs w:val="24"/>
          <w:lang w:val="es-419"/>
        </w:rPr>
        <w:t>pago</w:t>
      </w:r>
      <w:r>
        <w:rPr>
          <w:rFonts w:ascii="Times New Roman" w:hAnsi="Times New Roman"/>
          <w:sz w:val="24"/>
          <w:szCs w:val="24"/>
          <w:lang w:val="es-419"/>
        </w:rPr>
        <w:t xml:space="preserve"> de la </w:t>
      </w:r>
      <w:r w:rsidRPr="00F318FC">
        <w:rPr>
          <w:rFonts w:ascii="Times New Roman" w:hAnsi="Times New Roman"/>
          <w:sz w:val="24"/>
          <w:szCs w:val="24"/>
          <w:lang w:val="es-419"/>
        </w:rPr>
        <w:t xml:space="preserve"> sentencia judicial proferida por la corte constitucional en el fallo de tutela t-416 de 2016 a nombre de  </w:t>
      </w:r>
      <w:proofErr w:type="spellStart"/>
      <w:r w:rsidRPr="00F318FC">
        <w:rPr>
          <w:rFonts w:ascii="Times New Roman" w:hAnsi="Times New Roman"/>
          <w:sz w:val="24"/>
          <w:szCs w:val="24"/>
          <w:lang w:val="es-419"/>
        </w:rPr>
        <w:t>brianda</w:t>
      </w:r>
      <w:proofErr w:type="spellEnd"/>
      <w:r w:rsidRPr="00F318FC">
        <w:rPr>
          <w:rFonts w:ascii="Times New Roman" w:hAnsi="Times New Roman"/>
          <w:sz w:val="24"/>
          <w:szCs w:val="24"/>
          <w:lang w:val="es-419"/>
        </w:rPr>
        <w:t xml:space="preserve"> mercedes </w:t>
      </w:r>
      <w:proofErr w:type="spellStart"/>
      <w:r w:rsidRPr="00F318FC">
        <w:rPr>
          <w:rFonts w:ascii="Times New Roman" w:hAnsi="Times New Roman"/>
          <w:sz w:val="24"/>
          <w:szCs w:val="24"/>
          <w:lang w:val="es-419"/>
        </w:rPr>
        <w:t>reniz</w:t>
      </w:r>
      <w:proofErr w:type="spellEnd"/>
      <w:r w:rsidRPr="00F318FC">
        <w:rPr>
          <w:rFonts w:ascii="Times New Roman" w:hAnsi="Times New Roman"/>
          <w:sz w:val="24"/>
          <w:szCs w:val="24"/>
          <w:lang w:val="es-419"/>
        </w:rPr>
        <w:t xml:space="preserve"> caballero resolución 3241 del 23-12-2019.</w:t>
      </w:r>
    </w:p>
    <w:p w:rsidR="002A71AF" w:rsidRPr="0065290A" w:rsidRDefault="00A67903">
      <w:pPr>
        <w:rPr>
          <w:lang w:val="es-419"/>
        </w:rPr>
      </w:pPr>
    </w:p>
    <w:sectPr w:rsidR="002A71AF" w:rsidRPr="0065290A" w:rsidSect="0073200F">
      <w:headerReference w:type="default" r:id="rId54"/>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03" w:rsidRDefault="00A67903">
      <w:pPr>
        <w:spacing w:after="0" w:line="240" w:lineRule="auto"/>
      </w:pPr>
      <w:r>
        <w:separator/>
      </w:r>
    </w:p>
  </w:endnote>
  <w:endnote w:type="continuationSeparator" w:id="0">
    <w:p w:rsidR="00A67903" w:rsidRDefault="00A6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03" w:rsidRDefault="00A67903">
      <w:pPr>
        <w:spacing w:after="0" w:line="240" w:lineRule="auto"/>
      </w:pPr>
      <w:r>
        <w:separator/>
      </w:r>
    </w:p>
  </w:footnote>
  <w:footnote w:type="continuationSeparator" w:id="0">
    <w:p w:rsidR="00A67903" w:rsidRDefault="00A6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9" w:rsidRDefault="0065290A" w:rsidP="0067346B">
    <w:pPr>
      <w:pStyle w:val="Encabezado"/>
      <w:jc w:val="center"/>
    </w:pPr>
    <w:r>
      <w:rPr>
        <w:noProof/>
        <w:lang w:eastAsia="es-CO"/>
      </w:rPr>
      <w:drawing>
        <wp:inline distT="0" distB="0" distL="0" distR="0" wp14:anchorId="7FC1BDA3" wp14:editId="46950A81">
          <wp:extent cx="1123950" cy="762000"/>
          <wp:effectExtent l="0" t="0" r="0" b="0"/>
          <wp:docPr id="9" name="Imagen 9" descr="logotip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54E2D"/>
    <w:multiLevelType w:val="multilevel"/>
    <w:tmpl w:val="8FB0EC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64B96"/>
    <w:multiLevelType w:val="multilevel"/>
    <w:tmpl w:val="E868890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A762B8"/>
    <w:multiLevelType w:val="multilevel"/>
    <w:tmpl w:val="D0EED4FA"/>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C5FE3"/>
    <w:multiLevelType w:val="hybridMultilevel"/>
    <w:tmpl w:val="90163C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2A41FA"/>
    <w:multiLevelType w:val="hybridMultilevel"/>
    <w:tmpl w:val="8F2AB6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9C75776"/>
    <w:multiLevelType w:val="hybridMultilevel"/>
    <w:tmpl w:val="35E61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EC6B3C"/>
    <w:multiLevelType w:val="multilevel"/>
    <w:tmpl w:val="3112FC3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4C6A32FE"/>
    <w:multiLevelType w:val="hybridMultilevel"/>
    <w:tmpl w:val="02C2498E"/>
    <w:lvl w:ilvl="0" w:tplc="39920428">
      <w:start w:val="1"/>
      <w:numFmt w:val="bullet"/>
      <w:lvlText w:val="–"/>
      <w:lvlJc w:val="left"/>
      <w:pPr>
        <w:ind w:left="1068" w:hanging="360"/>
      </w:pPr>
      <w:rPr>
        <w:rFonts w:ascii="Calibri" w:hAnsi="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CBA4812"/>
    <w:multiLevelType w:val="hybridMultilevel"/>
    <w:tmpl w:val="1D3AB2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186D17"/>
    <w:multiLevelType w:val="hybridMultilevel"/>
    <w:tmpl w:val="BB8A53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EF0006"/>
    <w:multiLevelType w:val="multilevel"/>
    <w:tmpl w:val="1F14ADD2"/>
    <w:lvl w:ilvl="0">
      <w:start w:val="7"/>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F6C759E"/>
    <w:multiLevelType w:val="multilevel"/>
    <w:tmpl w:val="EB98CCC6"/>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60C3878"/>
    <w:multiLevelType w:val="hybridMultilevel"/>
    <w:tmpl w:val="9B2EE108"/>
    <w:lvl w:ilvl="0" w:tplc="FB5201DC">
      <w:start w:val="1"/>
      <w:numFmt w:val="bullet"/>
      <w:lvlText w:val="-"/>
      <w:lvlJc w:val="left"/>
      <w:pPr>
        <w:ind w:left="720" w:hanging="360"/>
      </w:pPr>
      <w:rPr>
        <w:rFonts w:ascii="Times New Roman" w:eastAsia="Calibri" w:hAnsi="Times New Roman" w:cs="Times New Roman"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316C51"/>
    <w:multiLevelType w:val="multilevel"/>
    <w:tmpl w:val="566A76CA"/>
    <w:lvl w:ilvl="0">
      <w:start w:val="1"/>
      <w:numFmt w:val="decimal"/>
      <w:lvlText w:val="%1."/>
      <w:lvlJc w:val="left"/>
      <w:pPr>
        <w:ind w:left="720" w:hanging="360"/>
      </w:pPr>
      <w:rPr>
        <w:rFonts w:hint="default"/>
      </w:rPr>
    </w:lvl>
    <w:lvl w:ilvl="1">
      <w:start w:val="1"/>
      <w:numFmt w:val="lowerLetter"/>
      <w:lvlText w:val="%2)"/>
      <w:lvlJc w:val="left"/>
      <w:pPr>
        <w:ind w:left="927"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55D4844"/>
    <w:multiLevelType w:val="multilevel"/>
    <w:tmpl w:val="3EBC0568"/>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6F1981"/>
    <w:multiLevelType w:val="multilevel"/>
    <w:tmpl w:val="305CA24E"/>
    <w:lvl w:ilvl="0">
      <w:start w:val="2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5"/>
  </w:num>
  <w:num w:numId="3">
    <w:abstractNumId w:val="27"/>
  </w:num>
  <w:num w:numId="4">
    <w:abstractNumId w:val="7"/>
  </w:num>
  <w:num w:numId="5">
    <w:abstractNumId w:val="32"/>
  </w:num>
  <w:num w:numId="6">
    <w:abstractNumId w:val="30"/>
  </w:num>
  <w:num w:numId="7">
    <w:abstractNumId w:val="19"/>
  </w:num>
  <w:num w:numId="8">
    <w:abstractNumId w:val="10"/>
  </w:num>
  <w:num w:numId="9">
    <w:abstractNumId w:val="25"/>
  </w:num>
  <w:num w:numId="10">
    <w:abstractNumId w:val="3"/>
  </w:num>
  <w:num w:numId="11">
    <w:abstractNumId w:val="12"/>
  </w:num>
  <w:num w:numId="12">
    <w:abstractNumId w:val="6"/>
  </w:num>
  <w:num w:numId="13">
    <w:abstractNumId w:val="0"/>
  </w:num>
  <w:num w:numId="14">
    <w:abstractNumId w:val="20"/>
  </w:num>
  <w:num w:numId="15">
    <w:abstractNumId w:val="13"/>
  </w:num>
  <w:num w:numId="16">
    <w:abstractNumId w:val="16"/>
  </w:num>
  <w:num w:numId="17">
    <w:abstractNumId w:val="9"/>
  </w:num>
  <w:num w:numId="18">
    <w:abstractNumId w:val="29"/>
  </w:num>
  <w:num w:numId="19">
    <w:abstractNumId w:val="8"/>
  </w:num>
  <w:num w:numId="20">
    <w:abstractNumId w:val="21"/>
  </w:num>
  <w:num w:numId="21">
    <w:abstractNumId w:val="24"/>
  </w:num>
  <w:num w:numId="22">
    <w:abstractNumId w:val="22"/>
  </w:num>
  <w:num w:numId="23">
    <w:abstractNumId w:val="31"/>
  </w:num>
  <w:num w:numId="24">
    <w:abstractNumId w:val="11"/>
  </w:num>
  <w:num w:numId="25">
    <w:abstractNumId w:val="35"/>
  </w:num>
  <w:num w:numId="26">
    <w:abstractNumId w:val="15"/>
  </w:num>
  <w:num w:numId="27">
    <w:abstractNumId w:val="34"/>
  </w:num>
  <w:num w:numId="28">
    <w:abstractNumId w:val="14"/>
  </w:num>
  <w:num w:numId="29">
    <w:abstractNumId w:val="4"/>
  </w:num>
  <w:num w:numId="30">
    <w:abstractNumId w:val="18"/>
  </w:num>
  <w:num w:numId="31">
    <w:abstractNumId w:val="23"/>
  </w:num>
  <w:num w:numId="32">
    <w:abstractNumId w:val="2"/>
  </w:num>
  <w:num w:numId="33">
    <w:abstractNumId w:val="36"/>
  </w:num>
  <w:num w:numId="34">
    <w:abstractNumId w:val="26"/>
  </w:num>
  <w:num w:numId="35">
    <w:abstractNumId w:val="1"/>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0A"/>
    <w:rsid w:val="002F05E1"/>
    <w:rsid w:val="0065290A"/>
    <w:rsid w:val="006C026E"/>
    <w:rsid w:val="00A67903"/>
    <w:rsid w:val="00CA3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BFD1-73CF-4C04-941F-02E61EB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0A"/>
    <w:rPr>
      <w:rFonts w:ascii="Calibri" w:eastAsia="Calibri" w:hAnsi="Calibri" w:cs="Times New Roman"/>
    </w:rPr>
  </w:style>
  <w:style w:type="paragraph" w:styleId="Ttulo1">
    <w:name w:val="heading 1"/>
    <w:basedOn w:val="Normal"/>
    <w:next w:val="Normal"/>
    <w:link w:val="Ttulo1Car"/>
    <w:uiPriority w:val="9"/>
    <w:qFormat/>
    <w:rsid w:val="0065290A"/>
    <w:pPr>
      <w:keepNext/>
      <w:keepLines/>
      <w:spacing w:after="0" w:line="240" w:lineRule="auto"/>
      <w:jc w:val="both"/>
      <w:outlineLvl w:val="0"/>
    </w:pPr>
    <w:rPr>
      <w:rFonts w:ascii="Times New Roman" w:eastAsiaTheme="majorEastAsia" w:hAnsi="Times New Roman" w:cstheme="majorBidi"/>
      <w:b/>
      <w:color w:val="1F4E79" w:themeColor="accent1" w:themeShade="80"/>
      <w:spacing w:val="-2"/>
      <w:sz w:val="26"/>
      <w:szCs w:val="32"/>
    </w:rPr>
  </w:style>
  <w:style w:type="paragraph" w:styleId="Ttulo2">
    <w:name w:val="heading 2"/>
    <w:basedOn w:val="Normal"/>
    <w:next w:val="Normal"/>
    <w:link w:val="Ttulo2Car"/>
    <w:uiPriority w:val="9"/>
    <w:unhideWhenUsed/>
    <w:qFormat/>
    <w:rsid w:val="0065290A"/>
    <w:pPr>
      <w:keepNext/>
      <w:keepLines/>
      <w:numPr>
        <w:numId w:val="11"/>
      </w:numPr>
      <w:spacing w:after="0"/>
      <w:jc w:val="both"/>
      <w:outlineLvl w:val="1"/>
    </w:pPr>
    <w:rPr>
      <w:rFonts w:ascii="Times New Roman" w:eastAsiaTheme="majorEastAsia" w:hAnsi="Times New Roman" w:cstheme="majorBidi"/>
      <w:b/>
      <w:color w:val="1F4E79" w:themeColor="accent1" w:themeShade="80"/>
      <w:sz w:val="24"/>
      <w:szCs w:val="26"/>
    </w:rPr>
  </w:style>
  <w:style w:type="paragraph" w:styleId="Ttulo3">
    <w:name w:val="heading 3"/>
    <w:basedOn w:val="Normal"/>
    <w:next w:val="Normal"/>
    <w:link w:val="Ttulo3Car"/>
    <w:uiPriority w:val="9"/>
    <w:unhideWhenUsed/>
    <w:qFormat/>
    <w:rsid w:val="0065290A"/>
    <w:pPr>
      <w:keepNext/>
      <w:keepLines/>
      <w:spacing w:after="0"/>
      <w:jc w:val="both"/>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unhideWhenUsed/>
    <w:qFormat/>
    <w:rsid w:val="006529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529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290A"/>
    <w:rPr>
      <w:rFonts w:ascii="Times New Roman" w:eastAsiaTheme="majorEastAsia" w:hAnsi="Times New Roman" w:cstheme="majorBidi"/>
      <w:b/>
      <w:color w:val="1F4E79" w:themeColor="accent1" w:themeShade="80"/>
      <w:spacing w:val="-2"/>
      <w:sz w:val="26"/>
      <w:szCs w:val="32"/>
    </w:rPr>
  </w:style>
  <w:style w:type="character" w:customStyle="1" w:styleId="Ttulo2Car">
    <w:name w:val="Título 2 Car"/>
    <w:basedOn w:val="Fuentedeprrafopredeter"/>
    <w:link w:val="Ttulo2"/>
    <w:uiPriority w:val="9"/>
    <w:rsid w:val="0065290A"/>
    <w:rPr>
      <w:rFonts w:ascii="Times New Roman" w:eastAsiaTheme="majorEastAsia" w:hAnsi="Times New Roman" w:cstheme="majorBidi"/>
      <w:b/>
      <w:color w:val="1F4E79" w:themeColor="accent1" w:themeShade="80"/>
      <w:sz w:val="24"/>
      <w:szCs w:val="26"/>
    </w:rPr>
  </w:style>
  <w:style w:type="character" w:customStyle="1" w:styleId="Ttulo3Car">
    <w:name w:val="Título 3 Car"/>
    <w:basedOn w:val="Fuentedeprrafopredeter"/>
    <w:link w:val="Ttulo3"/>
    <w:uiPriority w:val="9"/>
    <w:rsid w:val="0065290A"/>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65290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5290A"/>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65290A"/>
    <w:pPr>
      <w:ind w:left="720"/>
      <w:contextualSpacing/>
    </w:pPr>
  </w:style>
  <w:style w:type="character" w:styleId="Hipervnculo">
    <w:name w:val="Hyperlink"/>
    <w:uiPriority w:val="99"/>
    <w:unhideWhenUsed/>
    <w:rsid w:val="0065290A"/>
    <w:rPr>
      <w:color w:val="0000FF"/>
      <w:u w:val="single"/>
    </w:rPr>
  </w:style>
  <w:style w:type="paragraph" w:styleId="Textodeglobo">
    <w:name w:val="Balloon Text"/>
    <w:basedOn w:val="Normal"/>
    <w:link w:val="TextodegloboCar"/>
    <w:uiPriority w:val="99"/>
    <w:semiHidden/>
    <w:unhideWhenUsed/>
    <w:rsid w:val="006529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90A"/>
    <w:rPr>
      <w:rFonts w:ascii="Segoe UI" w:eastAsia="Calibri" w:hAnsi="Segoe UI" w:cs="Segoe UI"/>
      <w:sz w:val="18"/>
      <w:szCs w:val="18"/>
    </w:rPr>
  </w:style>
  <w:style w:type="paragraph" w:styleId="Encabezado">
    <w:name w:val="header"/>
    <w:basedOn w:val="Normal"/>
    <w:link w:val="EncabezadoCar"/>
    <w:uiPriority w:val="99"/>
    <w:unhideWhenUsed/>
    <w:rsid w:val="00652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90A"/>
    <w:rPr>
      <w:rFonts w:ascii="Calibri" w:eastAsia="Calibri" w:hAnsi="Calibri" w:cs="Times New Roman"/>
    </w:rPr>
  </w:style>
  <w:style w:type="paragraph" w:styleId="Piedepgina">
    <w:name w:val="footer"/>
    <w:basedOn w:val="Normal"/>
    <w:link w:val="PiedepginaCar"/>
    <w:uiPriority w:val="99"/>
    <w:unhideWhenUsed/>
    <w:rsid w:val="00652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0A"/>
    <w:rPr>
      <w:rFonts w:ascii="Calibri" w:eastAsia="Calibri" w:hAnsi="Calibri" w:cs="Times New Roman"/>
    </w:rPr>
  </w:style>
  <w:style w:type="character" w:styleId="Refdecomentario">
    <w:name w:val="annotation reference"/>
    <w:uiPriority w:val="99"/>
    <w:semiHidden/>
    <w:unhideWhenUsed/>
    <w:rsid w:val="0065290A"/>
    <w:rPr>
      <w:sz w:val="16"/>
      <w:szCs w:val="16"/>
    </w:rPr>
  </w:style>
  <w:style w:type="paragraph" w:styleId="Textocomentario">
    <w:name w:val="annotation text"/>
    <w:basedOn w:val="Normal"/>
    <w:link w:val="TextocomentarioCar"/>
    <w:uiPriority w:val="99"/>
    <w:semiHidden/>
    <w:unhideWhenUsed/>
    <w:rsid w:val="006529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290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5290A"/>
    <w:rPr>
      <w:b/>
      <w:bCs/>
    </w:rPr>
  </w:style>
  <w:style w:type="character" w:customStyle="1" w:styleId="AsuntodelcomentarioCar">
    <w:name w:val="Asunto del comentario Car"/>
    <w:basedOn w:val="TextocomentarioCar"/>
    <w:link w:val="Asuntodelcomentario"/>
    <w:uiPriority w:val="99"/>
    <w:semiHidden/>
    <w:rsid w:val="0065290A"/>
    <w:rPr>
      <w:rFonts w:ascii="Calibri" w:eastAsia="Calibri" w:hAnsi="Calibri" w:cs="Times New Roman"/>
      <w:b/>
      <w:bCs/>
      <w:sz w:val="20"/>
      <w:szCs w:val="20"/>
    </w:rPr>
  </w:style>
  <w:style w:type="table" w:styleId="Tablaconcuadrcula">
    <w:name w:val="Table Grid"/>
    <w:basedOn w:val="Tablanormal"/>
    <w:uiPriority w:val="39"/>
    <w:rsid w:val="0065290A"/>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5290A"/>
    <w:pPr>
      <w:spacing w:after="0" w:line="240" w:lineRule="auto"/>
    </w:pPr>
    <w:rPr>
      <w:rFonts w:ascii="Calibri" w:eastAsia="Calibri" w:hAnsi="Calibri" w:cs="Times New Roman"/>
    </w:rPr>
  </w:style>
  <w:style w:type="paragraph" w:styleId="Subttulo">
    <w:name w:val="Subtitle"/>
    <w:basedOn w:val="Normal"/>
    <w:next w:val="Normal"/>
    <w:link w:val="SubttuloCar"/>
    <w:uiPriority w:val="11"/>
    <w:qFormat/>
    <w:rsid w:val="0065290A"/>
    <w:pPr>
      <w:numPr>
        <w:numId w:val="10"/>
      </w:numPr>
      <w:spacing w:after="0"/>
    </w:pPr>
    <w:rPr>
      <w:rFonts w:ascii="Times New Roman" w:eastAsiaTheme="minorEastAsia" w:hAnsi="Times New Roman" w:cstheme="minorBidi"/>
      <w:b/>
      <w:color w:val="1F4E79" w:themeColor="accent1" w:themeShade="80"/>
      <w:spacing w:val="15"/>
      <w:sz w:val="24"/>
    </w:rPr>
  </w:style>
  <w:style w:type="character" w:customStyle="1" w:styleId="SubttuloCar">
    <w:name w:val="Subtítulo Car"/>
    <w:basedOn w:val="Fuentedeprrafopredeter"/>
    <w:link w:val="Subttulo"/>
    <w:uiPriority w:val="11"/>
    <w:rsid w:val="0065290A"/>
    <w:rPr>
      <w:rFonts w:ascii="Times New Roman" w:eastAsiaTheme="minorEastAsia" w:hAnsi="Times New Roman"/>
      <w:b/>
      <w:color w:val="1F4E79" w:themeColor="accent1" w:themeShade="80"/>
      <w:spacing w:val="15"/>
      <w:sz w:val="24"/>
    </w:rPr>
  </w:style>
  <w:style w:type="paragraph" w:styleId="TtulodeTDC">
    <w:name w:val="TOC Heading"/>
    <w:basedOn w:val="Ttulo1"/>
    <w:next w:val="Normal"/>
    <w:uiPriority w:val="39"/>
    <w:unhideWhenUsed/>
    <w:qFormat/>
    <w:rsid w:val="0065290A"/>
    <w:pPr>
      <w:spacing w:before="240"/>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65290A"/>
    <w:pPr>
      <w:spacing w:after="100"/>
    </w:pPr>
  </w:style>
  <w:style w:type="paragraph" w:styleId="TDC2">
    <w:name w:val="toc 2"/>
    <w:basedOn w:val="Normal"/>
    <w:next w:val="Normal"/>
    <w:autoRedefine/>
    <w:uiPriority w:val="39"/>
    <w:unhideWhenUsed/>
    <w:rsid w:val="0065290A"/>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65290A"/>
    <w:pPr>
      <w:tabs>
        <w:tab w:val="right" w:leader="dot" w:pos="9111"/>
      </w:tabs>
      <w:spacing w:after="100"/>
      <w:ind w:left="440"/>
    </w:pPr>
    <w:rPr>
      <w:rFonts w:asciiTheme="minorHAnsi" w:eastAsiaTheme="minorEastAsia" w:hAnsiTheme="minorHAnsi"/>
      <w:lang w:eastAsia="es-CO"/>
    </w:rPr>
  </w:style>
  <w:style w:type="paragraph" w:styleId="Puesto">
    <w:name w:val="Title"/>
    <w:basedOn w:val="Normal"/>
    <w:next w:val="Normal"/>
    <w:link w:val="PuestoCar"/>
    <w:uiPriority w:val="10"/>
    <w:qFormat/>
    <w:rsid w:val="0065290A"/>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PuestoCar">
    <w:name w:val="Puesto Car"/>
    <w:basedOn w:val="Fuentedeprrafopredeter"/>
    <w:link w:val="Puesto"/>
    <w:uiPriority w:val="10"/>
    <w:rsid w:val="0065290A"/>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65290A"/>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65290A"/>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65290A"/>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65290A"/>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65290A"/>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65290A"/>
    <w:pPr>
      <w:spacing w:after="100"/>
      <w:ind w:left="1760"/>
    </w:pPr>
    <w:rPr>
      <w:rFonts w:asciiTheme="minorHAnsi" w:eastAsiaTheme="minorEastAsia" w:hAnsiTheme="minorHAnsi" w:cstheme="minorBidi"/>
      <w:lang w:eastAsia="es-CO"/>
    </w:rPr>
  </w:style>
  <w:style w:type="character" w:customStyle="1" w:styleId="UnresolvedMention">
    <w:name w:val="Unresolved Mention"/>
    <w:basedOn w:val="Fuentedeprrafopredeter"/>
    <w:uiPriority w:val="99"/>
    <w:semiHidden/>
    <w:unhideWhenUsed/>
    <w:rsid w:val="0065290A"/>
    <w:rPr>
      <w:color w:val="605E5C"/>
      <w:shd w:val="clear" w:color="auto" w:fill="E1DFDD"/>
    </w:rPr>
  </w:style>
  <w:style w:type="paragraph" w:customStyle="1" w:styleId="Default">
    <w:name w:val="Default"/>
    <w:rsid w:val="006529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5290A"/>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_rels/header1.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8244</Words>
  <Characters>45348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Dayana Morales Romero</dc:creator>
  <cp:keywords/>
  <dc:description/>
  <cp:lastModifiedBy>Leidy Dayana Morales Romero</cp:lastModifiedBy>
  <cp:revision>2</cp:revision>
  <dcterms:created xsi:type="dcterms:W3CDTF">2020-02-10T16:22:00Z</dcterms:created>
  <dcterms:modified xsi:type="dcterms:W3CDTF">2020-02-10T16:23:00Z</dcterms:modified>
</cp:coreProperties>
</file>